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F8B7" w14:textId="77777777" w:rsidR="00560266" w:rsidRPr="00560266" w:rsidRDefault="00560266" w:rsidP="00560266">
      <w:pPr>
        <w:jc w:val="both"/>
        <w:rPr>
          <w:rFonts w:ascii="Trebuchet MS" w:eastAsiaTheme="minorHAnsi" w:hAnsi="Trebuchet MS" w:cs="Arial-BoldMT"/>
          <w:b/>
          <w:bCs/>
          <w:sz w:val="18"/>
          <w:szCs w:val="18"/>
        </w:rPr>
      </w:pPr>
      <w:proofErr w:type="spellStart"/>
      <w:r w:rsidRPr="00560266">
        <w:rPr>
          <w:rFonts w:ascii="Trebuchet MS" w:eastAsiaTheme="minorHAnsi" w:hAnsi="Trebuchet MS" w:cs="Arial-BoldMT"/>
          <w:b/>
          <w:bCs/>
          <w:sz w:val="18"/>
          <w:szCs w:val="18"/>
        </w:rPr>
        <w:t>Proiect</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cofinanțat</w:t>
      </w:r>
      <w:proofErr w:type="spellEnd"/>
      <w:r w:rsidRPr="00560266">
        <w:rPr>
          <w:rFonts w:ascii="Trebuchet MS" w:eastAsiaTheme="minorHAnsi" w:hAnsi="Trebuchet MS" w:cs="Arial-BoldMT"/>
          <w:b/>
          <w:bCs/>
          <w:sz w:val="18"/>
          <w:szCs w:val="18"/>
        </w:rPr>
        <w:t xml:space="preserve"> din Fondul Social European </w:t>
      </w:r>
      <w:proofErr w:type="spellStart"/>
      <w:r w:rsidRPr="00560266">
        <w:rPr>
          <w:rFonts w:ascii="Trebuchet MS" w:eastAsiaTheme="minorHAnsi" w:hAnsi="Trebuchet MS" w:cs="Arial-BoldMT"/>
          <w:b/>
          <w:bCs/>
          <w:sz w:val="18"/>
          <w:szCs w:val="18"/>
        </w:rPr>
        <w:t>prin</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Programul</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Operațional</w:t>
      </w:r>
      <w:proofErr w:type="spellEnd"/>
      <w:r w:rsidRPr="00560266">
        <w:rPr>
          <w:rFonts w:ascii="Trebuchet MS" w:eastAsiaTheme="minorHAnsi" w:hAnsi="Trebuchet MS" w:cs="Arial-BoldMT"/>
          <w:b/>
          <w:bCs/>
          <w:sz w:val="18"/>
          <w:szCs w:val="18"/>
        </w:rPr>
        <w:t xml:space="preserve"> Capital Uman 2014-2020”</w:t>
      </w:r>
    </w:p>
    <w:p w14:paraId="1A0C861C" w14:textId="77777777" w:rsidR="00560266" w:rsidRPr="00560266" w:rsidRDefault="00560266" w:rsidP="00560266">
      <w:pPr>
        <w:jc w:val="both"/>
        <w:rPr>
          <w:rFonts w:ascii="Trebuchet MS" w:eastAsiaTheme="minorHAnsi" w:hAnsi="Trebuchet MS" w:cs="Arial-BoldMT"/>
          <w:b/>
          <w:bCs/>
          <w:sz w:val="18"/>
          <w:szCs w:val="18"/>
        </w:rPr>
      </w:pPr>
      <w:r w:rsidRPr="00560266">
        <w:rPr>
          <w:rFonts w:ascii="Trebuchet MS" w:eastAsiaTheme="minorHAnsi" w:hAnsi="Trebuchet MS" w:cs="Arial-BoldMT"/>
          <w:b/>
          <w:bCs/>
          <w:sz w:val="18"/>
          <w:szCs w:val="18"/>
        </w:rPr>
        <w:t xml:space="preserve">Axa </w:t>
      </w:r>
      <w:proofErr w:type="spellStart"/>
      <w:r w:rsidRPr="00560266">
        <w:rPr>
          <w:rFonts w:ascii="Trebuchet MS" w:eastAsiaTheme="minorHAnsi" w:hAnsi="Trebuchet MS" w:cs="Arial-BoldMT"/>
          <w:b/>
          <w:bCs/>
          <w:sz w:val="18"/>
          <w:szCs w:val="18"/>
        </w:rPr>
        <w:t>prioritară</w:t>
      </w:r>
      <w:proofErr w:type="spellEnd"/>
      <w:r w:rsidRPr="00560266">
        <w:rPr>
          <w:rFonts w:ascii="Trebuchet MS" w:eastAsiaTheme="minorHAnsi" w:hAnsi="Trebuchet MS" w:cs="Arial-BoldMT"/>
          <w:b/>
          <w:bCs/>
          <w:sz w:val="18"/>
          <w:szCs w:val="18"/>
        </w:rPr>
        <w:t xml:space="preserve"> 1: </w:t>
      </w:r>
      <w:proofErr w:type="spellStart"/>
      <w:r w:rsidRPr="00560266">
        <w:rPr>
          <w:rFonts w:ascii="Trebuchet MS" w:eastAsiaTheme="minorHAnsi" w:hAnsi="Trebuchet MS" w:cs="Arial-BoldMT"/>
          <w:b/>
          <w:bCs/>
          <w:sz w:val="18"/>
          <w:szCs w:val="18"/>
        </w:rPr>
        <w:t>Inițiativa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Locuri</w:t>
      </w:r>
      <w:proofErr w:type="spellEnd"/>
      <w:r w:rsidRPr="00560266">
        <w:rPr>
          <w:rFonts w:ascii="Trebuchet MS" w:eastAsiaTheme="minorHAnsi" w:hAnsi="Trebuchet MS" w:cs="Arial-BoldMT"/>
          <w:b/>
          <w:bCs/>
          <w:sz w:val="18"/>
          <w:szCs w:val="18"/>
        </w:rPr>
        <w:t xml:space="preserve"> de </w:t>
      </w:r>
      <w:proofErr w:type="spellStart"/>
      <w:r w:rsidRPr="00560266">
        <w:rPr>
          <w:rFonts w:ascii="Trebuchet MS" w:eastAsiaTheme="minorHAnsi" w:hAnsi="Trebuchet MS" w:cs="Arial-BoldMT"/>
          <w:b/>
          <w:bCs/>
          <w:sz w:val="18"/>
          <w:szCs w:val="18"/>
        </w:rPr>
        <w:t>muncă</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pentru</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tineri</w:t>
      </w:r>
      <w:proofErr w:type="spellEnd"/>
      <w:r w:rsidRPr="00560266">
        <w:rPr>
          <w:rFonts w:ascii="Trebuchet MS" w:eastAsiaTheme="minorHAnsi" w:hAnsi="Trebuchet MS" w:cs="Arial-BoldMT"/>
          <w:b/>
          <w:bCs/>
          <w:sz w:val="18"/>
          <w:szCs w:val="18"/>
        </w:rPr>
        <w:t>”</w:t>
      </w:r>
    </w:p>
    <w:p w14:paraId="6D819CF0" w14:textId="77777777" w:rsidR="00560266" w:rsidRPr="00560266" w:rsidRDefault="00560266" w:rsidP="00560266">
      <w:pPr>
        <w:jc w:val="both"/>
        <w:rPr>
          <w:rFonts w:ascii="Trebuchet MS" w:eastAsiaTheme="minorHAnsi" w:hAnsi="Trebuchet MS" w:cs="Arial-BoldMT"/>
          <w:b/>
          <w:bCs/>
          <w:sz w:val="18"/>
          <w:szCs w:val="18"/>
        </w:rPr>
      </w:pPr>
      <w:proofErr w:type="spellStart"/>
      <w:r w:rsidRPr="00560266">
        <w:rPr>
          <w:rFonts w:ascii="Trebuchet MS" w:eastAsiaTheme="minorHAnsi" w:hAnsi="Trebuchet MS" w:cs="Arial-BoldMT"/>
          <w:b/>
          <w:bCs/>
          <w:sz w:val="18"/>
          <w:szCs w:val="18"/>
        </w:rPr>
        <w:t>Obiectivul</w:t>
      </w:r>
      <w:proofErr w:type="spellEnd"/>
      <w:r w:rsidRPr="00560266">
        <w:rPr>
          <w:rFonts w:ascii="Trebuchet MS" w:eastAsiaTheme="minorHAnsi" w:hAnsi="Trebuchet MS" w:cs="Arial-BoldMT"/>
          <w:b/>
          <w:bCs/>
          <w:sz w:val="18"/>
          <w:szCs w:val="18"/>
        </w:rPr>
        <w:t xml:space="preserve"> specific 1.1 – </w:t>
      </w:r>
      <w:proofErr w:type="spellStart"/>
      <w:r w:rsidRPr="00560266">
        <w:rPr>
          <w:rFonts w:ascii="Trebuchet MS" w:eastAsiaTheme="minorHAnsi" w:hAnsi="Trebuchet MS" w:cs="Arial-BoldMT"/>
          <w:b/>
          <w:bCs/>
          <w:sz w:val="18"/>
          <w:szCs w:val="18"/>
        </w:rPr>
        <w:t>Creșterea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ocupării</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tinerilor</w:t>
      </w:r>
      <w:proofErr w:type="spellEnd"/>
      <w:r w:rsidRPr="00560266">
        <w:rPr>
          <w:rFonts w:ascii="Trebuchet MS" w:eastAsiaTheme="minorHAnsi" w:hAnsi="Trebuchet MS" w:cs="Arial-BoldMT"/>
          <w:b/>
          <w:bCs/>
          <w:sz w:val="18"/>
          <w:szCs w:val="18"/>
        </w:rPr>
        <w:t xml:space="preserve"> NEETs </w:t>
      </w:r>
      <w:proofErr w:type="spellStart"/>
      <w:r w:rsidRPr="00560266">
        <w:rPr>
          <w:rFonts w:ascii="Trebuchet MS" w:eastAsiaTheme="minorHAnsi" w:hAnsi="Trebuchet MS" w:cs="Arial-BoldMT"/>
          <w:b/>
          <w:bCs/>
          <w:sz w:val="18"/>
          <w:szCs w:val="18"/>
        </w:rPr>
        <w:t>șomeri</w:t>
      </w:r>
      <w:proofErr w:type="spellEnd"/>
      <w:r w:rsidRPr="00560266">
        <w:rPr>
          <w:rFonts w:ascii="Trebuchet MS" w:eastAsiaTheme="minorHAnsi" w:hAnsi="Trebuchet MS" w:cs="Arial-BoldMT"/>
          <w:b/>
          <w:bCs/>
          <w:sz w:val="18"/>
          <w:szCs w:val="18"/>
        </w:rPr>
        <w:t xml:space="preserve"> cu </w:t>
      </w:r>
      <w:proofErr w:type="spellStart"/>
      <w:r w:rsidRPr="00560266">
        <w:rPr>
          <w:rFonts w:ascii="Trebuchet MS" w:eastAsiaTheme="minorHAnsi" w:hAnsi="Trebuchet MS" w:cs="Arial-BoldMT"/>
          <w:b/>
          <w:bCs/>
          <w:sz w:val="18"/>
          <w:szCs w:val="18"/>
        </w:rPr>
        <w:t>vârsta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între</w:t>
      </w:r>
      <w:proofErr w:type="spellEnd"/>
      <w:r w:rsidRPr="00560266">
        <w:rPr>
          <w:rFonts w:ascii="Trebuchet MS" w:eastAsiaTheme="minorHAnsi" w:hAnsi="Trebuchet MS" w:cs="Arial-BoldMT"/>
          <w:b/>
          <w:bCs/>
          <w:sz w:val="18"/>
          <w:szCs w:val="18"/>
        </w:rPr>
        <w:t xml:space="preserve"> 16 – 29 </w:t>
      </w:r>
      <w:proofErr w:type="gramStart"/>
      <w:r w:rsidRPr="00560266">
        <w:rPr>
          <w:rFonts w:ascii="Trebuchet MS" w:eastAsiaTheme="minorHAnsi" w:hAnsi="Trebuchet MS" w:cs="Arial-BoldMT"/>
          <w:b/>
          <w:bCs/>
          <w:sz w:val="18"/>
          <w:szCs w:val="18"/>
        </w:rPr>
        <w:t>ani</w:t>
      </w:r>
      <w:proofErr w:type="gram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înregistrați</w:t>
      </w:r>
      <w:proofErr w:type="spellEnd"/>
      <w:r w:rsidRPr="00560266">
        <w:rPr>
          <w:rFonts w:ascii="Trebuchet MS" w:eastAsiaTheme="minorHAnsi" w:hAnsi="Trebuchet MS" w:cs="Arial-BoldMT"/>
          <w:b/>
          <w:bCs/>
          <w:sz w:val="18"/>
          <w:szCs w:val="18"/>
        </w:rPr>
        <w:t xml:space="preserve"> la </w:t>
      </w:r>
      <w:proofErr w:type="spellStart"/>
      <w:r w:rsidRPr="00560266">
        <w:rPr>
          <w:rFonts w:ascii="Trebuchet MS" w:eastAsiaTheme="minorHAnsi" w:hAnsi="Trebuchet MS" w:cs="Arial-BoldMT"/>
          <w:b/>
          <w:bCs/>
          <w:sz w:val="18"/>
          <w:szCs w:val="18"/>
        </w:rPr>
        <w:t>Serviciul</w:t>
      </w:r>
      <w:proofErr w:type="spellEnd"/>
      <w:r w:rsidRPr="00560266">
        <w:rPr>
          <w:rFonts w:ascii="Trebuchet MS" w:eastAsiaTheme="minorHAnsi" w:hAnsi="Trebuchet MS" w:cs="Arial-BoldMT"/>
          <w:b/>
          <w:bCs/>
          <w:sz w:val="18"/>
          <w:szCs w:val="18"/>
        </w:rPr>
        <w:t xml:space="preserve"> Public de </w:t>
      </w:r>
      <w:proofErr w:type="spellStart"/>
      <w:r w:rsidRPr="00560266">
        <w:rPr>
          <w:rFonts w:ascii="Trebuchet MS" w:eastAsiaTheme="minorHAnsi" w:hAnsi="Trebuchet MS" w:cs="Arial-BoldMT"/>
          <w:b/>
          <w:bCs/>
          <w:sz w:val="18"/>
          <w:szCs w:val="18"/>
        </w:rPr>
        <w:t>Ocupare</w:t>
      </w:r>
      <w:proofErr w:type="spellEnd"/>
      <w:r w:rsidRPr="00560266">
        <w:rPr>
          <w:rFonts w:ascii="Trebuchet MS" w:eastAsiaTheme="minorHAnsi" w:hAnsi="Trebuchet MS" w:cs="Arial-BoldMT"/>
          <w:b/>
          <w:bCs/>
          <w:sz w:val="18"/>
          <w:szCs w:val="18"/>
        </w:rPr>
        <w:t xml:space="preserve">, cu </w:t>
      </w:r>
      <w:proofErr w:type="spellStart"/>
      <w:r w:rsidRPr="00560266">
        <w:rPr>
          <w:rFonts w:ascii="Trebuchet MS" w:eastAsiaTheme="minorHAnsi" w:hAnsi="Trebuchet MS" w:cs="Arial-BoldMT"/>
          <w:b/>
          <w:bCs/>
          <w:sz w:val="18"/>
          <w:szCs w:val="18"/>
        </w:rPr>
        <w:t>rezidența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regiunile</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eligibile</w:t>
      </w:r>
      <w:proofErr w:type="spellEnd"/>
      <w:r w:rsidRPr="00560266">
        <w:rPr>
          <w:rFonts w:ascii="Trebuchet MS" w:eastAsiaTheme="minorHAnsi" w:hAnsi="Trebuchet MS" w:cs="Arial-BoldMT"/>
          <w:b/>
          <w:bCs/>
          <w:sz w:val="18"/>
          <w:szCs w:val="18"/>
        </w:rPr>
        <w:t xml:space="preserve">” </w:t>
      </w:r>
    </w:p>
    <w:p w14:paraId="206E88F1" w14:textId="77777777" w:rsidR="00560266" w:rsidRPr="00560266" w:rsidRDefault="00560266" w:rsidP="00560266">
      <w:pPr>
        <w:jc w:val="both"/>
        <w:rPr>
          <w:rFonts w:ascii="Trebuchet MS" w:eastAsiaTheme="minorHAnsi" w:hAnsi="Trebuchet MS" w:cs="Arial-BoldMT"/>
          <w:b/>
          <w:bCs/>
          <w:sz w:val="18"/>
          <w:szCs w:val="18"/>
        </w:rPr>
      </w:pPr>
      <w:proofErr w:type="spellStart"/>
      <w:r w:rsidRPr="00560266">
        <w:rPr>
          <w:rFonts w:ascii="Trebuchet MS" w:eastAsiaTheme="minorHAnsi" w:hAnsi="Trebuchet MS" w:cs="Arial-BoldMT"/>
          <w:b/>
          <w:bCs/>
          <w:sz w:val="18"/>
          <w:szCs w:val="18"/>
        </w:rPr>
        <w:t>Obiectivul</w:t>
      </w:r>
      <w:proofErr w:type="spellEnd"/>
      <w:r w:rsidRPr="00560266">
        <w:rPr>
          <w:rFonts w:ascii="Trebuchet MS" w:eastAsiaTheme="minorHAnsi" w:hAnsi="Trebuchet MS" w:cs="Arial-BoldMT"/>
          <w:b/>
          <w:bCs/>
          <w:sz w:val="18"/>
          <w:szCs w:val="18"/>
        </w:rPr>
        <w:t xml:space="preserve"> Specific 1.2 – </w:t>
      </w:r>
      <w:proofErr w:type="spellStart"/>
      <w:r w:rsidRPr="00560266">
        <w:rPr>
          <w:rFonts w:ascii="Trebuchet MS" w:eastAsiaTheme="minorHAnsi" w:hAnsi="Trebuchet MS" w:cs="Arial-BoldMT"/>
          <w:b/>
          <w:bCs/>
          <w:sz w:val="18"/>
          <w:szCs w:val="18"/>
        </w:rPr>
        <w:t>Îmbunătățirea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nivelului</w:t>
      </w:r>
      <w:proofErr w:type="spellEnd"/>
      <w:r w:rsidRPr="00560266">
        <w:rPr>
          <w:rFonts w:ascii="Trebuchet MS" w:eastAsiaTheme="minorHAnsi" w:hAnsi="Trebuchet MS" w:cs="Arial-BoldMT"/>
          <w:b/>
          <w:bCs/>
          <w:sz w:val="18"/>
          <w:szCs w:val="18"/>
        </w:rPr>
        <w:t xml:space="preserve"> de </w:t>
      </w:r>
      <w:proofErr w:type="spellStart"/>
      <w:r w:rsidRPr="00560266">
        <w:rPr>
          <w:rFonts w:ascii="Trebuchet MS" w:eastAsiaTheme="minorHAnsi" w:hAnsi="Trebuchet MS" w:cs="Arial-BoldMT"/>
          <w:b/>
          <w:bCs/>
          <w:sz w:val="18"/>
          <w:szCs w:val="18"/>
        </w:rPr>
        <w:t>competențe</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inclusiv</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prin</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evaluarea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și</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certificarea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competențelor</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dobândite</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sistem</w:t>
      </w:r>
      <w:proofErr w:type="spellEnd"/>
      <w:r w:rsidRPr="00560266">
        <w:rPr>
          <w:rFonts w:ascii="Trebuchet MS" w:eastAsiaTheme="minorHAnsi" w:hAnsi="Trebuchet MS" w:cs="Arial-BoldMT"/>
          <w:b/>
          <w:bCs/>
          <w:sz w:val="18"/>
          <w:szCs w:val="18"/>
        </w:rPr>
        <w:t xml:space="preserve"> non-formal </w:t>
      </w:r>
      <w:proofErr w:type="spellStart"/>
      <w:r w:rsidRPr="00560266">
        <w:rPr>
          <w:rFonts w:ascii="Trebuchet MS" w:eastAsiaTheme="minorHAnsi" w:hAnsi="Trebuchet MS" w:cs="Arial-BoldMT"/>
          <w:b/>
          <w:bCs/>
          <w:sz w:val="18"/>
          <w:szCs w:val="18"/>
        </w:rPr>
        <w:t>și</w:t>
      </w:r>
      <w:proofErr w:type="spellEnd"/>
      <w:r w:rsidRPr="00560266">
        <w:rPr>
          <w:rFonts w:ascii="Trebuchet MS" w:eastAsiaTheme="minorHAnsi" w:hAnsi="Trebuchet MS" w:cs="Arial-BoldMT"/>
          <w:b/>
          <w:bCs/>
          <w:sz w:val="18"/>
          <w:szCs w:val="18"/>
        </w:rPr>
        <w:t xml:space="preserve"> informal al </w:t>
      </w:r>
      <w:proofErr w:type="spellStart"/>
      <w:r w:rsidRPr="00560266">
        <w:rPr>
          <w:rFonts w:ascii="Trebuchet MS" w:eastAsiaTheme="minorHAnsi" w:hAnsi="Trebuchet MS" w:cs="Arial-BoldMT"/>
          <w:b/>
          <w:bCs/>
          <w:sz w:val="18"/>
          <w:szCs w:val="18"/>
        </w:rPr>
        <w:t>tinerilor</w:t>
      </w:r>
      <w:proofErr w:type="spellEnd"/>
      <w:r w:rsidRPr="00560266">
        <w:rPr>
          <w:rFonts w:ascii="Trebuchet MS" w:eastAsiaTheme="minorHAnsi" w:hAnsi="Trebuchet MS" w:cs="Arial-BoldMT"/>
          <w:b/>
          <w:bCs/>
          <w:sz w:val="18"/>
          <w:szCs w:val="18"/>
        </w:rPr>
        <w:t xml:space="preserve"> NEETs </w:t>
      </w:r>
      <w:proofErr w:type="spellStart"/>
      <w:r w:rsidRPr="00560266">
        <w:rPr>
          <w:rFonts w:ascii="Trebuchet MS" w:eastAsiaTheme="minorHAnsi" w:hAnsi="Trebuchet MS" w:cs="Arial-BoldMT"/>
          <w:b/>
          <w:bCs/>
          <w:sz w:val="18"/>
          <w:szCs w:val="18"/>
        </w:rPr>
        <w:t>șomeri</w:t>
      </w:r>
      <w:proofErr w:type="spellEnd"/>
      <w:r w:rsidRPr="00560266">
        <w:rPr>
          <w:rFonts w:ascii="Trebuchet MS" w:eastAsiaTheme="minorHAnsi" w:hAnsi="Trebuchet MS" w:cs="Arial-BoldMT"/>
          <w:b/>
          <w:bCs/>
          <w:sz w:val="18"/>
          <w:szCs w:val="18"/>
        </w:rPr>
        <w:t xml:space="preserve"> cu </w:t>
      </w:r>
      <w:proofErr w:type="spellStart"/>
      <w:r w:rsidRPr="00560266">
        <w:rPr>
          <w:rFonts w:ascii="Trebuchet MS" w:eastAsiaTheme="minorHAnsi" w:hAnsi="Trebuchet MS" w:cs="Arial-BoldMT"/>
          <w:b/>
          <w:bCs/>
          <w:sz w:val="18"/>
          <w:szCs w:val="18"/>
        </w:rPr>
        <w:t>vârsta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între</w:t>
      </w:r>
      <w:proofErr w:type="spellEnd"/>
      <w:r w:rsidRPr="00560266">
        <w:rPr>
          <w:rFonts w:ascii="Trebuchet MS" w:eastAsiaTheme="minorHAnsi" w:hAnsi="Trebuchet MS" w:cs="Arial-BoldMT"/>
          <w:b/>
          <w:bCs/>
          <w:sz w:val="18"/>
          <w:szCs w:val="18"/>
        </w:rPr>
        <w:t xml:space="preserve"> 16 – 29 </w:t>
      </w:r>
      <w:proofErr w:type="gramStart"/>
      <w:r w:rsidRPr="00560266">
        <w:rPr>
          <w:rFonts w:ascii="Trebuchet MS" w:eastAsiaTheme="minorHAnsi" w:hAnsi="Trebuchet MS" w:cs="Arial-BoldMT"/>
          <w:b/>
          <w:bCs/>
          <w:sz w:val="18"/>
          <w:szCs w:val="18"/>
        </w:rPr>
        <w:t>ani</w:t>
      </w:r>
      <w:proofErr w:type="gram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înregistrați</w:t>
      </w:r>
      <w:proofErr w:type="spellEnd"/>
      <w:r w:rsidRPr="00560266">
        <w:rPr>
          <w:rFonts w:ascii="Trebuchet MS" w:eastAsiaTheme="minorHAnsi" w:hAnsi="Trebuchet MS" w:cs="Arial-BoldMT"/>
          <w:b/>
          <w:bCs/>
          <w:sz w:val="18"/>
          <w:szCs w:val="18"/>
        </w:rPr>
        <w:t xml:space="preserve"> la </w:t>
      </w:r>
      <w:proofErr w:type="spellStart"/>
      <w:r w:rsidRPr="00560266">
        <w:rPr>
          <w:rFonts w:ascii="Trebuchet MS" w:eastAsiaTheme="minorHAnsi" w:hAnsi="Trebuchet MS" w:cs="Arial-BoldMT"/>
          <w:b/>
          <w:bCs/>
          <w:sz w:val="18"/>
          <w:szCs w:val="18"/>
        </w:rPr>
        <w:t>Serviciul</w:t>
      </w:r>
      <w:proofErr w:type="spellEnd"/>
      <w:r w:rsidRPr="00560266">
        <w:rPr>
          <w:rFonts w:ascii="Trebuchet MS" w:eastAsiaTheme="minorHAnsi" w:hAnsi="Trebuchet MS" w:cs="Arial-BoldMT"/>
          <w:b/>
          <w:bCs/>
          <w:sz w:val="18"/>
          <w:szCs w:val="18"/>
        </w:rPr>
        <w:t xml:space="preserve"> Public de </w:t>
      </w:r>
      <w:proofErr w:type="spellStart"/>
      <w:r w:rsidRPr="00560266">
        <w:rPr>
          <w:rFonts w:ascii="Trebuchet MS" w:eastAsiaTheme="minorHAnsi" w:hAnsi="Trebuchet MS" w:cs="Arial-BoldMT"/>
          <w:b/>
          <w:bCs/>
          <w:sz w:val="18"/>
          <w:szCs w:val="18"/>
        </w:rPr>
        <w:t>Ocupare</w:t>
      </w:r>
      <w:proofErr w:type="spellEnd"/>
      <w:r w:rsidRPr="00560266">
        <w:rPr>
          <w:rFonts w:ascii="Trebuchet MS" w:eastAsiaTheme="minorHAnsi" w:hAnsi="Trebuchet MS" w:cs="Arial-BoldMT"/>
          <w:b/>
          <w:bCs/>
          <w:sz w:val="18"/>
          <w:szCs w:val="18"/>
        </w:rPr>
        <w:t xml:space="preserve">, cu </w:t>
      </w:r>
      <w:proofErr w:type="spellStart"/>
      <w:r w:rsidRPr="00560266">
        <w:rPr>
          <w:rFonts w:ascii="Trebuchet MS" w:eastAsiaTheme="minorHAnsi" w:hAnsi="Trebuchet MS" w:cs="Arial-BoldMT"/>
          <w:b/>
          <w:bCs/>
          <w:sz w:val="18"/>
          <w:szCs w:val="18"/>
        </w:rPr>
        <w:t>rezidența</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în</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regiunile</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eligibile</w:t>
      </w:r>
      <w:proofErr w:type="spellEnd"/>
      <w:r w:rsidRPr="00560266">
        <w:rPr>
          <w:rFonts w:ascii="Trebuchet MS" w:eastAsiaTheme="minorHAnsi" w:hAnsi="Trebuchet MS" w:cs="Arial-BoldMT"/>
          <w:b/>
          <w:bCs/>
          <w:sz w:val="18"/>
          <w:szCs w:val="18"/>
        </w:rPr>
        <w:t>”</w:t>
      </w:r>
    </w:p>
    <w:p w14:paraId="4B8852CD" w14:textId="77777777" w:rsidR="00560266" w:rsidRPr="00560266" w:rsidRDefault="00560266" w:rsidP="00560266">
      <w:pPr>
        <w:jc w:val="both"/>
        <w:rPr>
          <w:rFonts w:ascii="Trebuchet MS" w:eastAsiaTheme="minorHAnsi" w:hAnsi="Trebuchet MS" w:cs="Arial-BoldMT"/>
          <w:b/>
          <w:bCs/>
          <w:sz w:val="18"/>
          <w:szCs w:val="18"/>
        </w:rPr>
      </w:pPr>
      <w:proofErr w:type="spellStart"/>
      <w:r w:rsidRPr="00560266">
        <w:rPr>
          <w:rFonts w:ascii="Trebuchet MS" w:eastAsiaTheme="minorHAnsi" w:hAnsi="Trebuchet MS" w:cs="Arial-BoldMT"/>
          <w:b/>
          <w:bCs/>
          <w:sz w:val="18"/>
          <w:szCs w:val="18"/>
        </w:rPr>
        <w:t>Titlul</w:t>
      </w:r>
      <w:proofErr w:type="spellEnd"/>
      <w:r w:rsidRPr="00560266">
        <w:rPr>
          <w:rFonts w:ascii="Trebuchet MS" w:eastAsiaTheme="minorHAnsi" w:hAnsi="Trebuchet MS" w:cs="Arial-BoldMT"/>
          <w:b/>
          <w:bCs/>
          <w:sz w:val="18"/>
          <w:szCs w:val="18"/>
        </w:rPr>
        <w:t xml:space="preserve"> </w:t>
      </w:r>
      <w:proofErr w:type="spellStart"/>
      <w:r w:rsidRPr="00560266">
        <w:rPr>
          <w:rFonts w:ascii="Trebuchet MS" w:eastAsiaTheme="minorHAnsi" w:hAnsi="Trebuchet MS" w:cs="Arial-BoldMT"/>
          <w:b/>
          <w:bCs/>
          <w:sz w:val="18"/>
          <w:szCs w:val="18"/>
        </w:rPr>
        <w:t>proiectului</w:t>
      </w:r>
      <w:proofErr w:type="spellEnd"/>
      <w:r w:rsidRPr="00560266">
        <w:rPr>
          <w:rFonts w:ascii="Trebuchet MS" w:eastAsiaTheme="minorHAnsi" w:hAnsi="Trebuchet MS" w:cs="Arial-BoldMT"/>
          <w:b/>
          <w:bCs/>
          <w:sz w:val="18"/>
          <w:szCs w:val="18"/>
        </w:rPr>
        <w:t>: „START 4 NEETs”</w:t>
      </w:r>
    </w:p>
    <w:p w14:paraId="47DD66BA" w14:textId="77777777" w:rsidR="00560266" w:rsidRPr="00560266" w:rsidRDefault="00560266" w:rsidP="00560266">
      <w:pPr>
        <w:jc w:val="both"/>
        <w:rPr>
          <w:rFonts w:ascii="Trebuchet MS" w:eastAsiaTheme="minorHAnsi" w:hAnsi="Trebuchet MS" w:cs="Arial-BoldMT"/>
          <w:b/>
          <w:bCs/>
          <w:sz w:val="18"/>
          <w:szCs w:val="18"/>
        </w:rPr>
      </w:pPr>
      <w:proofErr w:type="spellStart"/>
      <w:r w:rsidRPr="00560266">
        <w:rPr>
          <w:rFonts w:ascii="Trebuchet MS" w:eastAsiaTheme="minorHAnsi" w:hAnsi="Trebuchet MS" w:cs="Arial-BoldMT"/>
          <w:b/>
          <w:bCs/>
          <w:sz w:val="18"/>
          <w:szCs w:val="18"/>
        </w:rPr>
        <w:t>Număr</w:t>
      </w:r>
      <w:proofErr w:type="spellEnd"/>
      <w:r w:rsidRPr="00560266">
        <w:rPr>
          <w:rFonts w:ascii="Trebuchet MS" w:eastAsiaTheme="minorHAnsi" w:hAnsi="Trebuchet MS" w:cs="Arial-BoldMT"/>
          <w:b/>
          <w:bCs/>
          <w:sz w:val="18"/>
          <w:szCs w:val="18"/>
        </w:rPr>
        <w:t xml:space="preserve"> de </w:t>
      </w:r>
      <w:proofErr w:type="spellStart"/>
      <w:r w:rsidRPr="00560266">
        <w:rPr>
          <w:rFonts w:ascii="Trebuchet MS" w:eastAsiaTheme="minorHAnsi" w:hAnsi="Trebuchet MS" w:cs="Arial-BoldMT"/>
          <w:b/>
          <w:bCs/>
          <w:sz w:val="18"/>
          <w:szCs w:val="18"/>
        </w:rPr>
        <w:t>identificare</w:t>
      </w:r>
      <w:proofErr w:type="spellEnd"/>
      <w:r w:rsidRPr="00560266">
        <w:rPr>
          <w:rFonts w:ascii="Trebuchet MS" w:eastAsiaTheme="minorHAnsi" w:hAnsi="Trebuchet MS" w:cs="Arial-BoldMT"/>
          <w:b/>
          <w:bCs/>
          <w:sz w:val="18"/>
          <w:szCs w:val="18"/>
        </w:rPr>
        <w:t xml:space="preserve"> al </w:t>
      </w:r>
      <w:proofErr w:type="spellStart"/>
      <w:r w:rsidRPr="00560266">
        <w:rPr>
          <w:rFonts w:ascii="Trebuchet MS" w:eastAsiaTheme="minorHAnsi" w:hAnsi="Trebuchet MS" w:cs="Arial-BoldMT"/>
          <w:b/>
          <w:bCs/>
          <w:sz w:val="18"/>
          <w:szCs w:val="18"/>
        </w:rPr>
        <w:t>contractului</w:t>
      </w:r>
      <w:proofErr w:type="spellEnd"/>
      <w:r w:rsidRPr="00560266">
        <w:rPr>
          <w:rFonts w:ascii="Trebuchet MS" w:eastAsiaTheme="minorHAnsi" w:hAnsi="Trebuchet MS" w:cs="Arial-BoldMT"/>
          <w:b/>
          <w:bCs/>
          <w:sz w:val="18"/>
          <w:szCs w:val="18"/>
        </w:rPr>
        <w:t>: POCU/991/1/3/153086</w:t>
      </w:r>
    </w:p>
    <w:p w14:paraId="17329BEB" w14:textId="13BAC8C3" w:rsidR="00783674" w:rsidRPr="001D4C69" w:rsidRDefault="00560266" w:rsidP="00560266">
      <w:pPr>
        <w:jc w:val="both"/>
        <w:rPr>
          <w:rFonts w:ascii="Trebuchet MS" w:hAnsi="Trebuchet MS"/>
          <w:b/>
          <w:sz w:val="20"/>
          <w:szCs w:val="20"/>
          <w:lang w:val="ro-RO"/>
        </w:rPr>
      </w:pPr>
      <w:proofErr w:type="spellStart"/>
      <w:r w:rsidRPr="00560266">
        <w:rPr>
          <w:rFonts w:ascii="Trebuchet MS" w:eastAsiaTheme="minorHAnsi" w:hAnsi="Trebuchet MS" w:cs="Arial-BoldMT"/>
          <w:b/>
          <w:bCs/>
          <w:sz w:val="18"/>
          <w:szCs w:val="18"/>
        </w:rPr>
        <w:t>Beneficiar</w:t>
      </w:r>
      <w:proofErr w:type="spellEnd"/>
      <w:r w:rsidRPr="00560266">
        <w:rPr>
          <w:rFonts w:ascii="Trebuchet MS" w:eastAsiaTheme="minorHAnsi" w:hAnsi="Trebuchet MS" w:cs="Arial-BoldMT"/>
          <w:b/>
          <w:bCs/>
          <w:sz w:val="18"/>
          <w:szCs w:val="18"/>
        </w:rPr>
        <w:t>: ASOCIAȚIA REGIONALĂ PENTRU DEZVOLTARE ANTREPRENORIALĂ OLTENIA (ARDA OLTENIA)</w:t>
      </w:r>
    </w:p>
    <w:p w14:paraId="710CF9BE" w14:textId="77777777" w:rsidR="00660400" w:rsidRDefault="00660400" w:rsidP="00783674">
      <w:pPr>
        <w:jc w:val="both"/>
        <w:rPr>
          <w:rFonts w:ascii="Trebuchet MS" w:hAnsi="Trebuchet MS"/>
          <w:b/>
          <w:sz w:val="22"/>
          <w:szCs w:val="22"/>
          <w:lang w:val="ro-RO"/>
        </w:rPr>
      </w:pPr>
    </w:p>
    <w:p w14:paraId="2555FC93" w14:textId="77777777" w:rsidR="00F15D2C" w:rsidRPr="00CF0143" w:rsidRDefault="00F15D2C" w:rsidP="00F15D2C">
      <w:pPr>
        <w:pStyle w:val="NoSpacing"/>
        <w:ind w:firstLine="720"/>
        <w:jc w:val="center"/>
        <w:rPr>
          <w:rFonts w:ascii="Trebuchet MS" w:hAnsi="Trebuchet MS" w:cs="Arial"/>
          <w:b/>
          <w:bCs/>
          <w:noProof/>
          <w:sz w:val="24"/>
          <w:szCs w:val="24"/>
        </w:rPr>
      </w:pPr>
      <w:r w:rsidRPr="00CF0143">
        <w:rPr>
          <w:rFonts w:ascii="Trebuchet MS" w:hAnsi="Trebuchet MS" w:cs="Arial"/>
          <w:b/>
          <w:bCs/>
          <w:noProof/>
          <w:sz w:val="24"/>
          <w:szCs w:val="24"/>
        </w:rPr>
        <w:t>Fi</w:t>
      </w:r>
      <w:r>
        <w:rPr>
          <w:rFonts w:ascii="Trebuchet MS" w:hAnsi="Trebuchet MS" w:cs="Arial"/>
          <w:b/>
          <w:bCs/>
          <w:noProof/>
          <w:sz w:val="24"/>
          <w:szCs w:val="24"/>
        </w:rPr>
        <w:t>șă de</w:t>
      </w:r>
      <w:r w:rsidRPr="00CF0143">
        <w:rPr>
          <w:rFonts w:ascii="Trebuchet MS" w:hAnsi="Trebuchet MS" w:cs="Arial"/>
          <w:b/>
          <w:bCs/>
          <w:noProof/>
          <w:sz w:val="24"/>
          <w:szCs w:val="24"/>
        </w:rPr>
        <w:t xml:space="preserve"> informare privind</w:t>
      </w:r>
    </w:p>
    <w:p w14:paraId="6EC75B7B" w14:textId="77777777" w:rsidR="00F15D2C" w:rsidRPr="00CF0143" w:rsidRDefault="00F15D2C" w:rsidP="00F15D2C">
      <w:pPr>
        <w:pStyle w:val="NoSpacing"/>
        <w:ind w:firstLine="720"/>
        <w:jc w:val="center"/>
        <w:rPr>
          <w:rFonts w:ascii="Trebuchet MS" w:hAnsi="Trebuchet MS" w:cs="Arial"/>
          <w:b/>
          <w:bCs/>
          <w:noProof/>
          <w:sz w:val="24"/>
          <w:szCs w:val="24"/>
        </w:rPr>
      </w:pPr>
      <w:r w:rsidRPr="00CF0143">
        <w:rPr>
          <w:rFonts w:ascii="Trebuchet MS" w:hAnsi="Trebuchet MS" w:cs="Arial"/>
          <w:b/>
          <w:bCs/>
          <w:noProof/>
          <w:sz w:val="24"/>
          <w:szCs w:val="24"/>
        </w:rPr>
        <w:t xml:space="preserve">analiza pieței muncii în regiunea </w:t>
      </w:r>
      <w:r>
        <w:rPr>
          <w:rFonts w:ascii="Trebuchet MS" w:hAnsi="Trebuchet MS" w:cs="Arial"/>
          <w:b/>
          <w:bCs/>
          <w:noProof/>
          <w:sz w:val="24"/>
          <w:szCs w:val="24"/>
        </w:rPr>
        <w:t>S</w:t>
      </w:r>
      <w:r w:rsidRPr="00CF0143">
        <w:rPr>
          <w:rFonts w:ascii="Trebuchet MS" w:hAnsi="Trebuchet MS" w:cs="Arial"/>
          <w:b/>
          <w:bCs/>
          <w:noProof/>
          <w:sz w:val="24"/>
          <w:szCs w:val="24"/>
        </w:rPr>
        <w:t xml:space="preserve">ud </w:t>
      </w:r>
      <w:r>
        <w:rPr>
          <w:rFonts w:ascii="Trebuchet MS" w:hAnsi="Trebuchet MS" w:cs="Arial"/>
          <w:b/>
          <w:bCs/>
          <w:noProof/>
          <w:sz w:val="24"/>
          <w:szCs w:val="24"/>
        </w:rPr>
        <w:t>V</w:t>
      </w:r>
      <w:r w:rsidRPr="00CF0143">
        <w:rPr>
          <w:rFonts w:ascii="Trebuchet MS" w:hAnsi="Trebuchet MS" w:cs="Arial"/>
          <w:b/>
          <w:bCs/>
          <w:noProof/>
          <w:sz w:val="24"/>
          <w:szCs w:val="24"/>
        </w:rPr>
        <w:t>est Oltenia</w:t>
      </w:r>
    </w:p>
    <w:p w14:paraId="710D73D8" w14:textId="77777777" w:rsidR="00F15D2C" w:rsidRPr="00CF0143" w:rsidRDefault="00F15D2C" w:rsidP="00F15D2C">
      <w:pPr>
        <w:pStyle w:val="NoSpacing"/>
        <w:ind w:firstLine="720"/>
        <w:jc w:val="both"/>
        <w:rPr>
          <w:rFonts w:ascii="Trebuchet MS" w:hAnsi="Trebuchet MS" w:cs="Arial"/>
          <w:b/>
          <w:bCs/>
          <w:noProof/>
        </w:rPr>
      </w:pPr>
    </w:p>
    <w:p w14:paraId="2C22108B" w14:textId="77777777" w:rsidR="00F15D2C" w:rsidRPr="00CF0143" w:rsidRDefault="00F15D2C" w:rsidP="00F15D2C">
      <w:pPr>
        <w:pStyle w:val="NoSpacing"/>
        <w:ind w:firstLine="720"/>
        <w:jc w:val="both"/>
        <w:rPr>
          <w:rFonts w:ascii="Trebuchet MS" w:hAnsi="Trebuchet MS" w:cs="Arial"/>
          <w:b/>
          <w:bCs/>
          <w:noProof/>
          <w:sz w:val="20"/>
          <w:szCs w:val="20"/>
        </w:rPr>
      </w:pPr>
    </w:p>
    <w:p w14:paraId="31E16DB4" w14:textId="77777777" w:rsidR="00F15D2C" w:rsidRPr="0003059D" w:rsidRDefault="00F15D2C" w:rsidP="00F15D2C">
      <w:pPr>
        <w:pStyle w:val="NoSpacing"/>
        <w:ind w:firstLine="720"/>
        <w:jc w:val="both"/>
        <w:rPr>
          <w:rFonts w:ascii="Trebuchet MS" w:hAnsi="Trebuchet MS" w:cs="Arial"/>
          <w:noProof/>
          <w:sz w:val="21"/>
          <w:szCs w:val="21"/>
        </w:rPr>
      </w:pPr>
      <w:r w:rsidRPr="007068CF">
        <w:rPr>
          <w:rFonts w:ascii="Trebuchet MS" w:hAnsi="Trebuchet MS" w:cs="Arial"/>
          <w:b/>
          <w:bCs/>
          <w:noProof/>
          <w:sz w:val="21"/>
          <w:szCs w:val="21"/>
        </w:rPr>
        <w:t>Regiunea de dezvoltare Sud-Vest Oltenia</w:t>
      </w:r>
      <w:r w:rsidRPr="007068CF">
        <w:rPr>
          <w:rFonts w:ascii="Trebuchet MS" w:hAnsi="Trebuchet MS" w:cs="Arial"/>
          <w:noProof/>
          <w:sz w:val="21"/>
          <w:szCs w:val="21"/>
        </w:rPr>
        <w:t xml:space="preserve">, din care fac parte cele cinci județe, Mehedinți, Gorj, Dolj, Olt și Vâlcea, este a 7- a regiune ca mărime, din cele 8 regiuni de la nivel național, cu o suprafață de 29.212 km2. </w:t>
      </w:r>
      <w:r w:rsidRPr="0003059D">
        <w:rPr>
          <w:rFonts w:ascii="Trebuchet MS" w:hAnsi="Trebuchet MS" w:cs="Arial"/>
          <w:noProof/>
          <w:sz w:val="21"/>
          <w:szCs w:val="21"/>
        </w:rPr>
        <w:t>În urma ultimului recensământ, are o populație de 2.184.573 locuitori (10,7% din populația totală a țării). Ponderea populației pe medii este de 47,2% în mediul urban, față de 52,8% în mediul rural, județele cu cel mai mare număr de locuitori în mediul rural fiind Olt (59,6%), Gorj (53%) și Vâlcea (55%). Populația urbană este concentrată în special în cele cinci reședințe de județ care totalizează împreună 63% din populația urbană a regiunii.</w:t>
      </w:r>
    </w:p>
    <w:p w14:paraId="303A57A0" w14:textId="77777777" w:rsidR="00F15D2C" w:rsidRPr="007068CF" w:rsidRDefault="00F15D2C" w:rsidP="00F15D2C">
      <w:pPr>
        <w:autoSpaceDE w:val="0"/>
        <w:autoSpaceDN w:val="0"/>
        <w:adjustRightInd w:val="0"/>
        <w:ind w:firstLine="720"/>
        <w:jc w:val="both"/>
        <w:rPr>
          <w:rFonts w:ascii="Trebuchet MS" w:hAnsi="Trebuchet MS" w:cs="Arial"/>
          <w:sz w:val="21"/>
          <w:szCs w:val="21"/>
          <w:lang w:val="ro-RO"/>
        </w:rPr>
      </w:pPr>
      <w:r w:rsidRPr="007068CF">
        <w:rPr>
          <w:rFonts w:ascii="Trebuchet MS" w:hAnsi="Trebuchet MS" w:cs="Arial"/>
          <w:sz w:val="21"/>
          <w:szCs w:val="21"/>
          <w:lang w:val="ro-RO"/>
        </w:rPr>
        <w:t>Cel mai important centru industrial este Craiova, urmată de celelalte reședințe de județ.</w:t>
      </w:r>
    </w:p>
    <w:p w14:paraId="494068AB" w14:textId="77777777" w:rsidR="00F15D2C" w:rsidRPr="007068CF" w:rsidRDefault="00F15D2C" w:rsidP="00F15D2C">
      <w:pPr>
        <w:autoSpaceDE w:val="0"/>
        <w:autoSpaceDN w:val="0"/>
        <w:adjustRightInd w:val="0"/>
        <w:ind w:firstLine="720"/>
        <w:jc w:val="both"/>
        <w:rPr>
          <w:rFonts w:ascii="Trebuchet MS" w:hAnsi="Trebuchet MS" w:cs="Arial"/>
          <w:sz w:val="21"/>
          <w:szCs w:val="21"/>
          <w:lang w:val="ro-RO"/>
        </w:rPr>
      </w:pPr>
      <w:r w:rsidRPr="007068CF">
        <w:rPr>
          <w:rFonts w:ascii="Trebuchet MS" w:hAnsi="Trebuchet MS" w:cs="Arial"/>
          <w:sz w:val="21"/>
          <w:szCs w:val="21"/>
          <w:lang w:val="ro-RO"/>
        </w:rPr>
        <w:t>Cea mai importantă ramură industrială în Oltenia este cea energetică. Pe ramuri:</w:t>
      </w:r>
    </w:p>
    <w:p w14:paraId="46FC5644"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energetică: termocentrale: Turceni, Rovinari, Ișalnița (toate cu puteri instalate de peste 1000MW), Craiova II, Govora-Râmnicu Vâlcea; hidrocentrale: Porțile de fier I, Porțile de fier II, Lotru-Ciunget, sistemul hidroenergetic de pe râul Olt.</w:t>
      </w:r>
    </w:p>
    <w:p w14:paraId="598648FE"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metalurgică: ALRO Slatina, TMK-ARTROM Slatina;</w:t>
      </w:r>
    </w:p>
    <w:p w14:paraId="0FAB0D65"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constructoare de mașini: automobile - Ford Craiova, componente de automobile - Craiova, fabrica de roți auto Drăgășani, avioane - fabrica de la Craiova, mijloace de transport feroviar- Electroputere Craiova, ROMVAG Caracal, fabrica de osii și boghiuri de la Balș, șantiere navale- Drobeta Turnu Severin, Orșova, fabrici de utilaj agricol- Craiova, Balș, cablaje auto la Drobeta Turnu Severin, volane auto la Orșova.</w:t>
      </w:r>
    </w:p>
    <w:p w14:paraId="302D9C5B" w14:textId="77777777" w:rsidR="00F15D2C" w:rsidRPr="007068CF" w:rsidRDefault="00F15D2C" w:rsidP="00F15D2C">
      <w:pPr>
        <w:pStyle w:val="NoSpacing"/>
        <w:ind w:firstLine="709"/>
        <w:jc w:val="both"/>
        <w:rPr>
          <w:rFonts w:ascii="Trebuchet MS" w:hAnsi="Trebuchet MS" w:cs="Arial"/>
          <w:sz w:val="21"/>
          <w:szCs w:val="21"/>
        </w:rPr>
      </w:pPr>
      <w:r w:rsidRPr="007068CF">
        <w:rPr>
          <w:rFonts w:ascii="Trebuchet MS" w:hAnsi="Trebuchet MS" w:cs="Arial"/>
          <w:sz w:val="21"/>
          <w:szCs w:val="21"/>
        </w:rPr>
        <w:t>- fabrici de armament:  Sadu, Bumbești Jiu (Gorj), Filiași (Dolj), Drăgășani (Vâlcea);</w:t>
      </w:r>
    </w:p>
    <w:p w14:paraId="60D41F88"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chimică: OLTCHIM Râmnicu Vâlcea, Uzinele Sodice Govora, DOLJCHIM Craiova, Pirelli Slatina;</w:t>
      </w:r>
    </w:p>
    <w:p w14:paraId="44CA8164"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materialelor de construcții: Bârsești ( Gorj ), Ișalnița-Craiova;</w:t>
      </w:r>
    </w:p>
    <w:p w14:paraId="27D2C321"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industia lemnului: Râmnicu Vâlcea, Târgu Jiu, Drobeta Turnu Severin (celuloză și hârtie), Brezoi, Băbeni;</w:t>
      </w:r>
    </w:p>
    <w:p w14:paraId="5B948EBF"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textilă: Slatina, Scornicești, Motru, Caracal, Tismana;</w:t>
      </w:r>
    </w:p>
    <w:p w14:paraId="6D351358" w14:textId="77777777" w:rsidR="00F15D2C" w:rsidRPr="007068CF" w:rsidRDefault="00F15D2C" w:rsidP="00F15D2C">
      <w:pPr>
        <w:autoSpaceDE w:val="0"/>
        <w:autoSpaceDN w:val="0"/>
        <w:adjustRightInd w:val="0"/>
        <w:ind w:firstLine="709"/>
        <w:jc w:val="both"/>
        <w:rPr>
          <w:rFonts w:ascii="Trebuchet MS" w:hAnsi="Trebuchet MS" w:cs="Arial"/>
          <w:sz w:val="21"/>
          <w:szCs w:val="21"/>
          <w:lang w:val="ro-RO"/>
        </w:rPr>
      </w:pPr>
      <w:r w:rsidRPr="007068CF">
        <w:rPr>
          <w:rFonts w:ascii="Trebuchet MS" w:hAnsi="Trebuchet MS" w:cs="Arial"/>
          <w:sz w:val="21"/>
          <w:szCs w:val="21"/>
          <w:lang w:val="ro-RO"/>
        </w:rPr>
        <w:t>- industria alimenentară: morărit și panificație la Râmnicu Vâlcea (Velpitar, Boromir), Slatina, Craiova, Caracal etc., fabrici de ulei: Podari-Craiova, de zahăr: Podari-Craiova, Corabia, de conserve din legume și fructe: Caracal, Râmnicu Vâlcea, de preparate din carne: Caracal (fabrica de pate Hame), Râmnicu Vâlcea, Potcoava-Olt etc., de bere: Craiova, Râmnicu Vâlcea, de vinuri: Segarcea, Strehaia, Drăgășani.</w:t>
      </w:r>
    </w:p>
    <w:p w14:paraId="28340EA2" w14:textId="77777777" w:rsidR="00F15D2C" w:rsidRPr="007068CF" w:rsidRDefault="00F15D2C" w:rsidP="00F15D2C">
      <w:pPr>
        <w:autoSpaceDE w:val="0"/>
        <w:autoSpaceDN w:val="0"/>
        <w:adjustRightInd w:val="0"/>
        <w:ind w:firstLine="720"/>
        <w:jc w:val="both"/>
        <w:rPr>
          <w:rFonts w:ascii="Trebuchet MS" w:hAnsi="Trebuchet MS" w:cs="Arial"/>
          <w:noProof/>
          <w:sz w:val="21"/>
          <w:szCs w:val="21"/>
          <w:lang w:val="ro-RO"/>
        </w:rPr>
      </w:pPr>
      <w:r w:rsidRPr="007068CF">
        <w:rPr>
          <w:rFonts w:ascii="Trebuchet MS" w:hAnsi="Trebuchet MS" w:cs="Arial"/>
          <w:noProof/>
          <w:sz w:val="21"/>
          <w:szCs w:val="21"/>
          <w:lang w:val="ro-RO"/>
        </w:rPr>
        <w:t xml:space="preserve">Alte centre importante sunt municipiul Caracal și un numar de orașe cu structurade mono-industrie incluzând municipiul Motru (industria minieră) și orasul Rovinari (energie termică). Din punctul de vedere al migrației externe de forță de muncă, în județele regiunii se înregistrează fluxuri de migrație externă mult sub media națională. </w:t>
      </w:r>
    </w:p>
    <w:p w14:paraId="70221379" w14:textId="77777777" w:rsidR="00F15D2C" w:rsidRPr="007068CF" w:rsidRDefault="00F15D2C" w:rsidP="00F15D2C">
      <w:pPr>
        <w:autoSpaceDE w:val="0"/>
        <w:autoSpaceDN w:val="0"/>
        <w:adjustRightInd w:val="0"/>
        <w:ind w:firstLine="720"/>
        <w:jc w:val="both"/>
        <w:rPr>
          <w:rFonts w:ascii="Trebuchet MS" w:hAnsi="Trebuchet MS" w:cs="Arial"/>
          <w:noProof/>
          <w:sz w:val="21"/>
          <w:szCs w:val="21"/>
          <w:lang w:val="ro-RO"/>
        </w:rPr>
      </w:pPr>
      <w:r w:rsidRPr="007068CF">
        <w:rPr>
          <w:rFonts w:ascii="Trebuchet MS" w:hAnsi="Trebuchet MS" w:cs="Arial"/>
          <w:noProof/>
          <w:sz w:val="21"/>
          <w:szCs w:val="21"/>
          <w:lang w:val="ro-RO"/>
        </w:rPr>
        <w:t>Județele Gorj și Mehedinți au cele mai scăzute valori ale migrației temporare externe din țară cu scop de angajare. În mod similar, județul Olt înregistrează cel mai mic nivel de migrație cu scop turistic din România. Singurul județ care se distinge în cadrul regiunii este Vâlcea, unde migrația temporară externă abia depășește 3% din populație. Din punctul de vedere al migrației interne, migrarea dinspre urban spre rural s-a produs atât în urma concedierilor masive din întreprinderile de stat, dar și datorită restituirii terenurilor agricole prin Legile 18/1991 si 1/2000. Începând cu 2002, tendința a început ușor sa se inverseze, astfel încat populația din mediul rural a reînceput să fie atrasă de munca în zonele urbane.</w:t>
      </w:r>
    </w:p>
    <w:p w14:paraId="6651F2C1" w14:textId="77777777" w:rsidR="00F15D2C" w:rsidRPr="007068CF" w:rsidRDefault="00F15D2C" w:rsidP="00F15D2C">
      <w:pPr>
        <w:pStyle w:val="NoSpacing"/>
        <w:ind w:firstLine="720"/>
        <w:jc w:val="both"/>
        <w:rPr>
          <w:rFonts w:ascii="Trebuchet MS" w:hAnsi="Trebuchet MS" w:cs="Arial"/>
          <w:noProof/>
          <w:sz w:val="21"/>
          <w:szCs w:val="21"/>
        </w:rPr>
      </w:pPr>
      <w:r w:rsidRPr="007068CF">
        <w:rPr>
          <w:rFonts w:ascii="Trebuchet MS" w:hAnsi="Trebuchet MS" w:cs="Arial"/>
          <w:noProof/>
          <w:sz w:val="21"/>
          <w:szCs w:val="21"/>
        </w:rPr>
        <w:t>Conform Institutului Național de Statistică, populația rezidentă a regiunii, în anul 2022, a fost de 1,87 milioane persoane.</w:t>
      </w:r>
    </w:p>
    <w:p w14:paraId="70DAC23B" w14:textId="77777777" w:rsidR="00F15D2C" w:rsidRPr="007068CF" w:rsidRDefault="00F15D2C" w:rsidP="00F15D2C">
      <w:pPr>
        <w:pStyle w:val="NoSpacing"/>
        <w:ind w:firstLine="720"/>
        <w:jc w:val="both"/>
        <w:rPr>
          <w:rFonts w:ascii="Trebuchet MS" w:hAnsi="Trebuchet MS" w:cs="Arial"/>
          <w:noProof/>
          <w:sz w:val="21"/>
          <w:szCs w:val="21"/>
          <w:lang w:val="sv-SE"/>
        </w:rPr>
      </w:pPr>
      <w:r w:rsidRPr="007068CF">
        <w:rPr>
          <w:rFonts w:ascii="Trebuchet MS" w:hAnsi="Trebuchet MS" w:cs="Arial"/>
          <w:noProof/>
          <w:sz w:val="21"/>
          <w:szCs w:val="21"/>
        </w:rPr>
        <w:lastRenderedPageBreak/>
        <w:t xml:space="preserve">La 01.01.2022, conform Balanţei Forţei de Muncă, populaţia ocupată civilă a fost de 657,6 mii persoane, reprezentând 55,5% din resursele de muncă ale regiunii. </w:t>
      </w:r>
      <w:r w:rsidRPr="007068CF">
        <w:rPr>
          <w:rFonts w:ascii="Trebuchet MS" w:hAnsi="Trebuchet MS" w:cs="Arial"/>
          <w:noProof/>
          <w:sz w:val="21"/>
          <w:szCs w:val="21"/>
          <w:lang w:val="sv-SE"/>
        </w:rPr>
        <w:t>Rata șomajului înregistrat la data de 31 martie 2023 a fost de 5,6%, fiind înregistraţi 39,2 mii şomeri.</w:t>
      </w:r>
    </w:p>
    <w:p w14:paraId="135A55C3" w14:textId="77777777" w:rsidR="00F15D2C" w:rsidRPr="007068CF" w:rsidRDefault="00F15D2C" w:rsidP="00F15D2C">
      <w:pPr>
        <w:pStyle w:val="NoSpacing"/>
        <w:ind w:firstLine="720"/>
        <w:jc w:val="both"/>
        <w:rPr>
          <w:rFonts w:ascii="Trebuchet MS" w:hAnsi="Trebuchet MS" w:cs="Arial"/>
          <w:noProof/>
          <w:sz w:val="21"/>
          <w:szCs w:val="21"/>
          <w:lang w:val="sv-SE"/>
        </w:rPr>
      </w:pPr>
      <w:r w:rsidRPr="007068CF">
        <w:rPr>
          <w:rFonts w:ascii="Trebuchet MS" w:hAnsi="Trebuchet MS" w:cs="Arial"/>
          <w:noProof/>
          <w:sz w:val="21"/>
          <w:szCs w:val="21"/>
          <w:lang w:val="sv-SE"/>
        </w:rPr>
        <w:t>Din punct de vedere al participării la principalele activităţi economice, ponderea populației ocupate civile în agricultură, silvicultură și pescuit reprezintă 17%, în timp ce în servicii este predominantă (48,2%) și de 34,8% în industrie și construcţii.</w:t>
      </w:r>
    </w:p>
    <w:p w14:paraId="0B98C4ED" w14:textId="77777777" w:rsidR="00F15D2C" w:rsidRPr="007068CF" w:rsidRDefault="00F15D2C" w:rsidP="00F15D2C">
      <w:pPr>
        <w:pStyle w:val="NoSpacing"/>
        <w:ind w:firstLine="720"/>
        <w:jc w:val="both"/>
        <w:rPr>
          <w:rFonts w:ascii="Trebuchet MS" w:hAnsi="Trebuchet MS" w:cs="Arial"/>
          <w:noProof/>
          <w:sz w:val="21"/>
          <w:szCs w:val="21"/>
          <w:lang w:val="sv-SE"/>
        </w:rPr>
      </w:pPr>
      <w:r w:rsidRPr="007068CF">
        <w:rPr>
          <w:rFonts w:ascii="Trebuchet MS" w:hAnsi="Trebuchet MS" w:cs="Arial"/>
          <w:noProof/>
          <w:sz w:val="21"/>
          <w:szCs w:val="21"/>
          <w:lang w:val="sv-SE"/>
        </w:rPr>
        <w:t xml:space="preserve">În cadrul acestei regiuni, agricultura are un rol important, cu peste 1 milion de hectare destinate cultivării cerealelor, plantelor oleaginoase, legumelor și fructelor, cartofilor, sfeclei de zahăr și viței de vie.  </w:t>
      </w:r>
    </w:p>
    <w:p w14:paraId="7EC77C94" w14:textId="77777777" w:rsidR="00F15D2C" w:rsidRPr="007068CF" w:rsidRDefault="00F15D2C" w:rsidP="00F15D2C">
      <w:pPr>
        <w:pStyle w:val="NoSpacing"/>
        <w:ind w:firstLine="720"/>
        <w:jc w:val="both"/>
        <w:rPr>
          <w:rFonts w:ascii="Trebuchet MS" w:hAnsi="Trebuchet MS" w:cs="Arial"/>
          <w:noProof/>
          <w:sz w:val="21"/>
          <w:szCs w:val="21"/>
          <w:lang w:val="sv-SE"/>
        </w:rPr>
      </w:pPr>
      <w:r w:rsidRPr="007068CF">
        <w:rPr>
          <w:rFonts w:ascii="Trebuchet MS" w:hAnsi="Trebuchet MS" w:cs="Arial"/>
          <w:noProof/>
          <w:sz w:val="21"/>
          <w:szCs w:val="21"/>
          <w:lang w:val="sv-SE"/>
        </w:rPr>
        <w:t>Principalele industrii prezente în regiune sunt: industria metalurgică (fiind reprezentată de cel mai mare producător de aluminiu din Europa Centrală și de Est și, totodată, singurul producător de aluminiu din țară - ALRO Slatina), industria electrotehnică, producția energiei (reprezentată de Complexul Energetic Oltenia), industria auto, industria constructoare de mașini și tractoare, industria chimică (cu producătorul Oltchim SA), industria alimentară, industria ușoară și materiale de construcții, industria construcțiilor navale.</w:t>
      </w:r>
    </w:p>
    <w:p w14:paraId="46033AB8" w14:textId="77777777" w:rsidR="00F15D2C" w:rsidRPr="007068CF" w:rsidRDefault="00F15D2C" w:rsidP="00F15D2C">
      <w:pPr>
        <w:pStyle w:val="NoSpacing"/>
        <w:ind w:firstLine="720"/>
        <w:jc w:val="both"/>
        <w:rPr>
          <w:rFonts w:ascii="Trebuchet MS" w:hAnsi="Trebuchet MS" w:cs="Arial"/>
          <w:noProof/>
          <w:sz w:val="21"/>
          <w:szCs w:val="21"/>
          <w:lang w:val="sv-SE"/>
        </w:rPr>
      </w:pPr>
      <w:r w:rsidRPr="007068CF">
        <w:rPr>
          <w:rFonts w:ascii="Trebuchet MS" w:hAnsi="Trebuchet MS" w:cs="Arial"/>
          <w:noProof/>
          <w:sz w:val="21"/>
          <w:szCs w:val="21"/>
          <w:lang w:val="sv-SE"/>
        </w:rPr>
        <w:t>Alte repere importante ale regiunii: Craiova este un centru universitar cu tradiție; infrastructura de transport este diversificată (rutier, căi ferate, căi navigabile, aeroport internațional Craiova); capitalul natural deosebit de divers, prin varietatea reliefului și prezența bazinelor hidrografice ale Oltului, Jiului și Dunării, reprezintă cadrul unui turism foarte bine reprezentat.</w:t>
      </w:r>
    </w:p>
    <w:p w14:paraId="04F06F8D" w14:textId="77777777" w:rsidR="00F15D2C" w:rsidRPr="007068CF" w:rsidRDefault="00F15D2C" w:rsidP="00F15D2C">
      <w:pPr>
        <w:pStyle w:val="NoSpacing"/>
        <w:ind w:firstLine="720"/>
        <w:jc w:val="both"/>
        <w:rPr>
          <w:rFonts w:ascii="Trebuchet MS" w:hAnsi="Trebuchet MS" w:cs="Arial"/>
          <w:noProof/>
          <w:sz w:val="21"/>
          <w:szCs w:val="21"/>
          <w:lang w:val="sv-SE"/>
        </w:rPr>
      </w:pPr>
      <w:r w:rsidRPr="007068CF">
        <w:rPr>
          <w:rFonts w:ascii="Trebuchet MS" w:hAnsi="Trebuchet MS" w:cs="Arial"/>
          <w:noProof/>
          <w:sz w:val="21"/>
          <w:szCs w:val="21"/>
          <w:lang w:val="sv-SE"/>
        </w:rPr>
        <w:t>Conform datelor statistice ale ANOFM, la finele lunii martie 2023, cei mai importanți angajatori din regiune, după numărul de salariaţi, sunt: Complexul Energetic Oltenia Sud, SC Pirelli Tyres Romania SRL, Artrom Steel Tubes SA, Spitalul Clinic Judeţean Craiova, Civitas PSG SA, SC Alro SA, SC Vel Pitar SA, DGRFP Craiova, SC Moveos SRL,  TMG Guard SRL, Universitatea din Craiova.</w:t>
      </w:r>
    </w:p>
    <w:p w14:paraId="16F42B5F" w14:textId="77777777" w:rsidR="00F15D2C" w:rsidRPr="007068CF" w:rsidRDefault="00F15D2C" w:rsidP="00F15D2C">
      <w:pPr>
        <w:pStyle w:val="NoSpacing"/>
        <w:ind w:firstLine="720"/>
        <w:jc w:val="both"/>
        <w:rPr>
          <w:rFonts w:ascii="Trebuchet MS" w:hAnsi="Trebuchet MS" w:cs="Arial"/>
          <w:noProof/>
          <w:sz w:val="21"/>
          <w:szCs w:val="21"/>
        </w:rPr>
      </w:pPr>
      <w:r w:rsidRPr="007068CF">
        <w:rPr>
          <w:rFonts w:ascii="Trebuchet MS" w:hAnsi="Trebuchet MS" w:cs="Arial"/>
          <w:noProof/>
          <w:sz w:val="21"/>
          <w:szCs w:val="21"/>
        </w:rPr>
        <w:t>Regiunea beneficiază de un potenţial turistic diversificat, incluzând turismul montan și cel speologic, balnear, ecoturismul, parcurile naturale și turismul religios.</w:t>
      </w:r>
    </w:p>
    <w:p w14:paraId="3030A95D" w14:textId="77777777" w:rsidR="00F15D2C" w:rsidRPr="007068CF" w:rsidRDefault="00F15D2C" w:rsidP="00F15D2C">
      <w:pPr>
        <w:pStyle w:val="NoSpacing"/>
        <w:ind w:firstLine="709"/>
        <w:jc w:val="both"/>
        <w:rPr>
          <w:rFonts w:ascii="Trebuchet MS" w:hAnsi="Trebuchet MS" w:cs="Arial"/>
          <w:noProof/>
          <w:sz w:val="21"/>
          <w:szCs w:val="21"/>
        </w:rPr>
      </w:pPr>
      <w:r w:rsidRPr="007068CF">
        <w:rPr>
          <w:rFonts w:ascii="Trebuchet MS" w:hAnsi="Trebuchet MS" w:cs="Arial"/>
          <w:noProof/>
          <w:sz w:val="21"/>
          <w:szCs w:val="21"/>
        </w:rPr>
        <w:t>Conform datelor ANOFM, în trimestrul 1 din 2023, cele mai multe locuri vacante au fost înregistrate pe următoarele ocupaţii: lucrător comercial, muncitor necalificat la asamblarea montarea pieselor, agent de securitate, muncitor necalificat în construcţii, conducător auto transport rutier de mărfuri, manipulant mărfuri, muncitor necalificat în industria confecţiilor, şofer de autoturisme şi camionete, vânzător.</w:t>
      </w:r>
    </w:p>
    <w:p w14:paraId="55DE240F" w14:textId="77777777" w:rsidR="00F15D2C" w:rsidRPr="007068CF" w:rsidRDefault="00F15D2C" w:rsidP="00F15D2C">
      <w:pPr>
        <w:pStyle w:val="NoSpacing"/>
        <w:ind w:firstLine="720"/>
        <w:jc w:val="both"/>
        <w:rPr>
          <w:rFonts w:ascii="Trebuchet MS" w:hAnsi="Trebuchet MS" w:cs="Arial"/>
          <w:noProof/>
          <w:sz w:val="21"/>
          <w:szCs w:val="21"/>
        </w:rPr>
      </w:pPr>
      <w:r w:rsidRPr="007068CF">
        <w:rPr>
          <w:rFonts w:ascii="Trebuchet MS" w:hAnsi="Trebuchet MS" w:cs="Arial"/>
          <w:noProof/>
          <w:sz w:val="21"/>
          <w:szCs w:val="21"/>
        </w:rPr>
        <w:t>Conform datelor Agenției Naționale pentru Ocuparea Forței de Muncă, la finele lunii martie 2023, cel mai mare număr de şomeri s-a înregistrat pe următoarele ocupaţii: muncitor necalificat la ambalarea produselor solide și semisolide; muncitor necalificat la demolarea clădirilor, căptuşeli zidărie, plăci mozaic, faianţă, gresie, parchet; muncitor necalificat în agricultură; muncitor necalificat la întreţinerea de drumuri, şosele, poduri, baraje; muncitor necalificat la ambalarea produselor sub formă de praf şi granule; lăcătuș mecanic; lucrător comercial; ambalator manual; manipulant mărfuri.</w:t>
      </w:r>
    </w:p>
    <w:p w14:paraId="461A3408" w14:textId="77777777" w:rsidR="00F15D2C" w:rsidRPr="00CF0143" w:rsidRDefault="00F15D2C" w:rsidP="00F15D2C">
      <w:pPr>
        <w:pStyle w:val="NoSpacing"/>
        <w:ind w:firstLine="720"/>
        <w:jc w:val="both"/>
        <w:rPr>
          <w:rFonts w:ascii="Trebuchet MS" w:hAnsi="Trebuchet MS" w:cs="Arial"/>
          <w:noProof/>
          <w:sz w:val="20"/>
          <w:szCs w:val="20"/>
        </w:rPr>
      </w:pPr>
    </w:p>
    <w:p w14:paraId="764AF5EA" w14:textId="77777777" w:rsidR="00F15D2C" w:rsidRPr="00CF0143" w:rsidRDefault="00F15D2C" w:rsidP="00F15D2C">
      <w:pPr>
        <w:pStyle w:val="NoSpacing"/>
        <w:ind w:firstLine="720"/>
        <w:jc w:val="both"/>
        <w:rPr>
          <w:rFonts w:ascii="Trebuchet MS" w:hAnsi="Trebuchet MS" w:cs="Arial"/>
          <w:noProof/>
          <w:sz w:val="20"/>
          <w:szCs w:val="20"/>
        </w:rPr>
      </w:pPr>
    </w:p>
    <w:p w14:paraId="34C8F823" w14:textId="77777777" w:rsidR="00F15D2C" w:rsidRPr="00CF0143" w:rsidRDefault="00F15D2C" w:rsidP="00F15D2C">
      <w:pPr>
        <w:pStyle w:val="NoSpacing"/>
        <w:ind w:firstLine="720"/>
        <w:jc w:val="both"/>
        <w:rPr>
          <w:rFonts w:ascii="Trebuchet MS" w:hAnsi="Trebuchet MS" w:cs="Arial"/>
          <w:noProof/>
          <w:sz w:val="20"/>
          <w:szCs w:val="20"/>
        </w:rPr>
      </w:pPr>
    </w:p>
    <w:p w14:paraId="1CE4205F" w14:textId="5C92C448" w:rsidR="00F15D2C" w:rsidRPr="00835C27" w:rsidRDefault="00F15D2C" w:rsidP="00F15D2C">
      <w:pPr>
        <w:pStyle w:val="NoSpacing"/>
        <w:ind w:firstLine="720"/>
        <w:jc w:val="both"/>
        <w:rPr>
          <w:rFonts w:ascii="Trebuchet MS" w:hAnsi="Trebuchet MS" w:cs="Arial"/>
          <w:noProof/>
        </w:rPr>
      </w:pPr>
      <w:r w:rsidRPr="00835C27">
        <w:rPr>
          <w:rFonts w:ascii="Trebuchet MS" w:hAnsi="Trebuchet MS" w:cs="Arial"/>
          <w:noProof/>
        </w:rPr>
        <w:t xml:space="preserve">Am fost informat azi, </w:t>
      </w:r>
      <w:r w:rsidR="004F1F6C">
        <w:rPr>
          <w:rFonts w:ascii="Trebuchet MS" w:hAnsi="Trebuchet MS" w:cs="Arial"/>
          <w:noProof/>
        </w:rPr>
        <w:t>________________________</w:t>
      </w:r>
    </w:p>
    <w:p w14:paraId="76BAA530" w14:textId="77777777" w:rsidR="00F15D2C" w:rsidRPr="00835C27" w:rsidRDefault="00F15D2C" w:rsidP="00F15D2C">
      <w:pPr>
        <w:pStyle w:val="NoSpacing"/>
        <w:ind w:firstLine="720"/>
        <w:jc w:val="both"/>
        <w:rPr>
          <w:rFonts w:ascii="Trebuchet MS" w:hAnsi="Trebuchet MS" w:cs="Arial"/>
          <w:noProof/>
        </w:rPr>
      </w:pPr>
    </w:p>
    <w:p w14:paraId="716029FB" w14:textId="7A100385" w:rsidR="00F15D2C" w:rsidRPr="00835C27" w:rsidRDefault="00F15D2C" w:rsidP="00F15D2C">
      <w:pPr>
        <w:pStyle w:val="NoSpacing"/>
        <w:ind w:firstLine="720"/>
        <w:jc w:val="both"/>
        <w:rPr>
          <w:rFonts w:ascii="Trebuchet MS" w:hAnsi="Trebuchet MS" w:cs="Arial"/>
          <w:noProof/>
        </w:rPr>
      </w:pPr>
      <w:r w:rsidRPr="00835C27">
        <w:rPr>
          <w:rFonts w:ascii="Trebuchet MS" w:hAnsi="Trebuchet MS" w:cs="Arial"/>
          <w:noProof/>
        </w:rPr>
        <w:t xml:space="preserve">Nume și prenume: </w:t>
      </w:r>
      <w:r w:rsidR="004F1F6C">
        <w:rPr>
          <w:rFonts w:ascii="Trebuchet MS" w:hAnsi="Trebuchet MS" w:cs="Arial"/>
          <w:noProof/>
        </w:rPr>
        <w:t>____________________________</w:t>
      </w:r>
    </w:p>
    <w:p w14:paraId="113772A7" w14:textId="77777777" w:rsidR="00F15D2C" w:rsidRPr="00835C27" w:rsidRDefault="00F15D2C" w:rsidP="00F15D2C">
      <w:pPr>
        <w:pStyle w:val="NoSpacing"/>
        <w:ind w:firstLine="720"/>
        <w:jc w:val="both"/>
        <w:rPr>
          <w:rFonts w:ascii="Trebuchet MS" w:hAnsi="Trebuchet MS" w:cs="Arial"/>
          <w:noProof/>
        </w:rPr>
      </w:pPr>
    </w:p>
    <w:p w14:paraId="074417F1" w14:textId="77777777" w:rsidR="00F45FBE" w:rsidRDefault="00F45FBE" w:rsidP="00F15D2C">
      <w:pPr>
        <w:pStyle w:val="NoSpacing"/>
        <w:ind w:firstLine="720"/>
        <w:jc w:val="both"/>
        <w:rPr>
          <w:rFonts w:ascii="Trebuchet MS" w:hAnsi="Trebuchet MS" w:cs="Arial"/>
          <w:noProof/>
        </w:rPr>
      </w:pPr>
    </w:p>
    <w:p w14:paraId="17363CDF" w14:textId="1D19F120" w:rsidR="00F15D2C" w:rsidRPr="00835C27" w:rsidRDefault="00F15D2C" w:rsidP="00F15D2C">
      <w:pPr>
        <w:pStyle w:val="NoSpacing"/>
        <w:ind w:firstLine="720"/>
        <w:jc w:val="both"/>
        <w:rPr>
          <w:rFonts w:ascii="Trebuchet MS" w:hAnsi="Trebuchet MS" w:cs="Arial"/>
          <w:noProof/>
        </w:rPr>
      </w:pPr>
      <w:r w:rsidRPr="00835C27">
        <w:rPr>
          <w:rFonts w:ascii="Trebuchet MS" w:hAnsi="Trebuchet MS" w:cs="Arial"/>
          <w:noProof/>
        </w:rPr>
        <w:t>Semnătura: ___________________</w:t>
      </w:r>
    </w:p>
    <w:p w14:paraId="347CB7C3" w14:textId="77777777" w:rsidR="00105577" w:rsidRDefault="00105577" w:rsidP="00783674">
      <w:pPr>
        <w:jc w:val="both"/>
        <w:rPr>
          <w:rFonts w:ascii="Trebuchet MS" w:hAnsi="Trebuchet MS"/>
          <w:b/>
          <w:sz w:val="22"/>
          <w:szCs w:val="22"/>
          <w:lang w:val="ro-RO"/>
        </w:rPr>
      </w:pPr>
    </w:p>
    <w:sectPr w:rsidR="00105577" w:rsidSect="00B05A38">
      <w:headerReference w:type="default" r:id="rId8"/>
      <w:footerReference w:type="default" r:id="rId9"/>
      <w:pgSz w:w="11906" w:h="16838"/>
      <w:pgMar w:top="1985" w:right="566" w:bottom="284" w:left="1134" w:header="142" w:footer="9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8D21B" w14:textId="77777777" w:rsidR="00B63159" w:rsidRDefault="00B63159" w:rsidP="00272BED">
      <w:r>
        <w:separator/>
      </w:r>
    </w:p>
  </w:endnote>
  <w:endnote w:type="continuationSeparator" w:id="0">
    <w:p w14:paraId="1501F4A1" w14:textId="77777777" w:rsidR="00B63159" w:rsidRDefault="00B63159"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D644" w14:textId="77777777" w:rsidR="00560266" w:rsidRDefault="00560266" w:rsidP="00560266">
    <w:pPr>
      <w:pStyle w:val="Footer"/>
      <w:jc w:val="center"/>
    </w:pPr>
    <w:r>
      <w:rPr>
        <w:noProof/>
      </w:rPr>
      <w:drawing>
        <wp:anchor distT="0" distB="0" distL="114300" distR="114300" simplePos="0" relativeHeight="251660288" behindDoc="0" locked="0" layoutInCell="1" allowOverlap="1" wp14:anchorId="51EBAD7E" wp14:editId="596B9CDA">
          <wp:simplePos x="0" y="0"/>
          <wp:positionH relativeFrom="column">
            <wp:posOffset>4728210</wp:posOffset>
          </wp:positionH>
          <wp:positionV relativeFrom="paragraph">
            <wp:posOffset>191770</wp:posOffset>
          </wp:positionV>
          <wp:extent cx="1701420" cy="518160"/>
          <wp:effectExtent l="0" t="0" r="0" b="0"/>
          <wp:wrapNone/>
          <wp:docPr id="1709786563" name="Picture 170978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701420" cy="518160"/>
                  </a:xfrm>
                  <a:prstGeom prst="rect">
                    <a:avLst/>
                  </a:prstGeom>
                </pic:spPr>
              </pic:pic>
            </a:graphicData>
          </a:graphic>
          <wp14:sizeRelH relativeFrom="margin">
            <wp14:pctWidth>0</wp14:pctWidth>
          </wp14:sizeRelH>
          <wp14:sizeRelV relativeFrom="margin">
            <wp14:pctHeight>0</wp14:pctHeight>
          </wp14:sizeRelV>
        </wp:anchor>
      </w:drawing>
    </w:r>
    <w:r w:rsidRPr="00C567D1">
      <w:rPr>
        <w:noProof/>
      </w:rPr>
      <w:drawing>
        <wp:anchor distT="0" distB="0" distL="114300" distR="114300" simplePos="0" relativeHeight="251659264" behindDoc="0" locked="0" layoutInCell="1" allowOverlap="1" wp14:anchorId="106D4E7C" wp14:editId="4C68A51E">
          <wp:simplePos x="0" y="0"/>
          <wp:positionH relativeFrom="column">
            <wp:posOffset>-57150</wp:posOffset>
          </wp:positionH>
          <wp:positionV relativeFrom="paragraph">
            <wp:posOffset>92710</wp:posOffset>
          </wp:positionV>
          <wp:extent cx="815546" cy="670560"/>
          <wp:effectExtent l="0" t="0" r="3810" b="0"/>
          <wp:wrapNone/>
          <wp:docPr id="1110340202" name="Picture 111034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5546" cy="6705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033FA">
      <w:rPr>
        <w:sz w:val="18"/>
        <w:szCs w:val="18"/>
      </w:rPr>
      <w:t>Proiect</w:t>
    </w:r>
    <w:proofErr w:type="spellEnd"/>
    <w:r w:rsidRPr="001033FA">
      <w:rPr>
        <w:sz w:val="18"/>
        <w:szCs w:val="18"/>
      </w:rPr>
      <w:t xml:space="preserve"> </w:t>
    </w:r>
    <w:proofErr w:type="spellStart"/>
    <w:r w:rsidRPr="001033FA">
      <w:rPr>
        <w:sz w:val="18"/>
        <w:szCs w:val="18"/>
      </w:rPr>
      <w:t>cofinanțat</w:t>
    </w:r>
    <w:proofErr w:type="spellEnd"/>
    <w:r w:rsidRPr="001033FA">
      <w:rPr>
        <w:sz w:val="18"/>
        <w:szCs w:val="18"/>
      </w:rPr>
      <w:t xml:space="preserve"> din Fondul Social European </w:t>
    </w:r>
    <w:proofErr w:type="spellStart"/>
    <w:r w:rsidRPr="001033FA">
      <w:rPr>
        <w:sz w:val="18"/>
        <w:szCs w:val="18"/>
      </w:rPr>
      <w:t>prin</w:t>
    </w:r>
    <w:proofErr w:type="spellEnd"/>
    <w:r w:rsidRPr="001033FA">
      <w:rPr>
        <w:sz w:val="18"/>
        <w:szCs w:val="18"/>
      </w:rPr>
      <w:t xml:space="preserve"> </w:t>
    </w:r>
    <w:proofErr w:type="spellStart"/>
    <w:r w:rsidRPr="001033FA">
      <w:rPr>
        <w:sz w:val="18"/>
        <w:szCs w:val="18"/>
      </w:rPr>
      <w:t>Programul</w:t>
    </w:r>
    <w:proofErr w:type="spellEnd"/>
    <w:r w:rsidRPr="001033FA">
      <w:rPr>
        <w:sz w:val="18"/>
        <w:szCs w:val="18"/>
      </w:rPr>
      <w:t xml:space="preserve"> </w:t>
    </w:r>
    <w:proofErr w:type="spellStart"/>
    <w:r w:rsidRPr="001033FA">
      <w:rPr>
        <w:sz w:val="18"/>
        <w:szCs w:val="18"/>
      </w:rPr>
      <w:t>Operațional</w:t>
    </w:r>
    <w:proofErr w:type="spellEnd"/>
    <w:r w:rsidRPr="001033FA">
      <w:rPr>
        <w:sz w:val="18"/>
        <w:szCs w:val="18"/>
      </w:rPr>
      <w:t xml:space="preserve"> Capital Uman 2014 – 2020</w:t>
    </w:r>
  </w:p>
  <w:p w14:paraId="3C8B64F7" w14:textId="5A198212" w:rsidR="00BC6FB1" w:rsidRPr="00560266" w:rsidRDefault="00BC6FB1" w:rsidP="0056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B582B" w14:textId="77777777" w:rsidR="00B63159" w:rsidRDefault="00B63159" w:rsidP="00272BED">
      <w:r>
        <w:separator/>
      </w:r>
    </w:p>
  </w:footnote>
  <w:footnote w:type="continuationSeparator" w:id="0">
    <w:p w14:paraId="73B3F5A7" w14:textId="77777777" w:rsidR="00B63159" w:rsidRDefault="00B63159"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69D1" w14:textId="2247C882" w:rsidR="003E2365" w:rsidRDefault="00B05A38" w:rsidP="003E2365">
    <w:pPr>
      <w:pBdr>
        <w:top w:val="nil"/>
        <w:left w:val="nil"/>
        <w:bottom w:val="nil"/>
        <w:right w:val="nil"/>
        <w:between w:val="nil"/>
      </w:pBdr>
      <w:tabs>
        <w:tab w:val="center" w:pos="4680"/>
        <w:tab w:val="right" w:pos="9360"/>
      </w:tabs>
      <w:rPr>
        <w:color w:val="000000"/>
      </w:rPr>
    </w:pPr>
    <w:bookmarkStart w:id="0" w:name="_Hlk59008422"/>
    <w:bookmarkStart w:id="1" w:name="_Hlk59008423"/>
    <w:r>
      <w:rPr>
        <w:noProof/>
        <w:color w:val="000000"/>
      </w:rPr>
      <w:drawing>
        <wp:anchor distT="0" distB="0" distL="114300" distR="114300" simplePos="0" relativeHeight="251661312" behindDoc="0" locked="0" layoutInCell="1" allowOverlap="1" wp14:anchorId="0BC1A98B" wp14:editId="50DADAF8">
          <wp:simplePos x="0" y="0"/>
          <wp:positionH relativeFrom="column">
            <wp:posOffset>5162550</wp:posOffset>
          </wp:positionH>
          <wp:positionV relativeFrom="paragraph">
            <wp:posOffset>62230</wp:posOffset>
          </wp:positionV>
          <wp:extent cx="771525" cy="866775"/>
          <wp:effectExtent l="0" t="0" r="9525" b="9525"/>
          <wp:wrapNone/>
          <wp:docPr id="1881300165" name="Picture 1881300165"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1525" cy="866775"/>
                  </a:xfrm>
                  <a:prstGeom prst="rect">
                    <a:avLst/>
                  </a:prstGeom>
                  <a:ln/>
                </pic:spPr>
              </pic:pic>
            </a:graphicData>
          </a:graphic>
        </wp:anchor>
      </w:drawing>
    </w:r>
    <w:r w:rsidR="003E2365">
      <w:rPr>
        <w:noProof/>
        <w:color w:val="000000"/>
      </w:rPr>
      <w:drawing>
        <wp:inline distT="0" distB="0" distL="0" distR="0" wp14:anchorId="0F396F57" wp14:editId="29710C30">
          <wp:extent cx="1056640" cy="848360"/>
          <wp:effectExtent l="0" t="0" r="0" b="0"/>
          <wp:docPr id="4255548" name="Picture 4255548"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2"/>
                  <a:srcRect/>
                  <a:stretch>
                    <a:fillRect/>
                  </a:stretch>
                </pic:blipFill>
                <pic:spPr>
                  <a:xfrm>
                    <a:off x="0" y="0"/>
                    <a:ext cx="1056640" cy="848360"/>
                  </a:xfrm>
                  <a:prstGeom prst="rect">
                    <a:avLst/>
                  </a:prstGeom>
                  <a:ln/>
                </pic:spPr>
              </pic:pic>
            </a:graphicData>
          </a:graphic>
        </wp:inline>
      </w:drawing>
    </w:r>
    <w:r w:rsidR="003E2365">
      <w:rPr>
        <w:color w:val="000000"/>
      </w:rPr>
      <w:t xml:space="preserve">                                              </w:t>
    </w:r>
    <w:r w:rsidR="003E2365">
      <w:rPr>
        <w:noProof/>
        <w:color w:val="000000"/>
      </w:rPr>
      <w:drawing>
        <wp:inline distT="0" distB="0" distL="0" distR="0" wp14:anchorId="70ED4E06" wp14:editId="5AD72C0C">
          <wp:extent cx="838800" cy="838800"/>
          <wp:effectExtent l="0" t="0" r="0" b="0"/>
          <wp:docPr id="532677823" name="Picture 5326778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838800" cy="838800"/>
                  </a:xfrm>
                  <a:prstGeom prst="rect">
                    <a:avLst/>
                  </a:prstGeom>
                  <a:ln/>
                </pic:spPr>
              </pic:pic>
            </a:graphicData>
          </a:graphic>
        </wp:inline>
      </w:drawing>
    </w:r>
    <w:r w:rsidR="003E2365">
      <w:rPr>
        <w:color w:val="000000"/>
      </w:rPr>
      <w:t xml:space="preserve">                                                </w: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7D25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7430802" o:spid="_x0000_i1025" type="#_x0000_t75" style="width:11.4pt;height:11.4pt;visibility:visible;mso-wrap-style:square">
            <v:imagedata r:id="rId1" o:title=""/>
          </v:shape>
        </w:pict>
      </mc:Choice>
      <mc:Fallback>
        <w:drawing>
          <wp:inline distT="0" distB="0" distL="0" distR="0" wp14:anchorId="0B02F095" wp14:editId="0AD4404D">
            <wp:extent cx="144780" cy="144780"/>
            <wp:effectExtent l="0" t="0" r="0" b="0"/>
            <wp:docPr id="2037430802" name="Picture 203743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36C0522"/>
    <w:multiLevelType w:val="hybridMultilevel"/>
    <w:tmpl w:val="243447D0"/>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2B6"/>
    <w:multiLevelType w:val="hybridMultilevel"/>
    <w:tmpl w:val="90F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2F45C3C"/>
    <w:multiLevelType w:val="hybridMultilevel"/>
    <w:tmpl w:val="4CDC003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26EA0E50"/>
    <w:multiLevelType w:val="hybridMultilevel"/>
    <w:tmpl w:val="F58C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E6937"/>
    <w:multiLevelType w:val="hybridMultilevel"/>
    <w:tmpl w:val="7C5C770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85EA0"/>
    <w:multiLevelType w:val="hybridMultilevel"/>
    <w:tmpl w:val="D2C43B06"/>
    <w:lvl w:ilvl="0" w:tplc="C0F867A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D81C47"/>
    <w:multiLevelType w:val="hybridMultilevel"/>
    <w:tmpl w:val="21C850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A0BCF"/>
    <w:multiLevelType w:val="hybridMultilevel"/>
    <w:tmpl w:val="CE483BE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859F6"/>
    <w:multiLevelType w:val="hybridMultilevel"/>
    <w:tmpl w:val="F41A36B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06ABC"/>
    <w:multiLevelType w:val="hybridMultilevel"/>
    <w:tmpl w:val="15EE998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93F0CF6"/>
    <w:multiLevelType w:val="hybridMultilevel"/>
    <w:tmpl w:val="DF94C6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242BE"/>
    <w:multiLevelType w:val="hybridMultilevel"/>
    <w:tmpl w:val="5BA8957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8982535"/>
    <w:multiLevelType w:val="hybridMultilevel"/>
    <w:tmpl w:val="2BF4BB1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34348D"/>
    <w:multiLevelType w:val="hybridMultilevel"/>
    <w:tmpl w:val="78A6DB9E"/>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2348">
    <w:abstractNumId w:val="12"/>
  </w:num>
  <w:num w:numId="2" w16cid:durableId="1560703801">
    <w:abstractNumId w:val="20"/>
  </w:num>
  <w:num w:numId="3" w16cid:durableId="685014658">
    <w:abstractNumId w:val="3"/>
  </w:num>
  <w:num w:numId="4" w16cid:durableId="153880846">
    <w:abstractNumId w:val="5"/>
  </w:num>
  <w:num w:numId="5" w16cid:durableId="1144465605">
    <w:abstractNumId w:val="23"/>
  </w:num>
  <w:num w:numId="6" w16cid:durableId="795100678">
    <w:abstractNumId w:val="17"/>
  </w:num>
  <w:num w:numId="7" w16cid:durableId="1095174301">
    <w:abstractNumId w:val="25"/>
  </w:num>
  <w:num w:numId="8" w16cid:durableId="358092797">
    <w:abstractNumId w:val="6"/>
  </w:num>
  <w:num w:numId="9" w16cid:durableId="991373783">
    <w:abstractNumId w:val="18"/>
  </w:num>
  <w:num w:numId="10" w16cid:durableId="1154760185">
    <w:abstractNumId w:val="22"/>
  </w:num>
  <w:num w:numId="11" w16cid:durableId="1485510662">
    <w:abstractNumId w:val="8"/>
  </w:num>
  <w:num w:numId="12" w16cid:durableId="380907066">
    <w:abstractNumId w:val="11"/>
  </w:num>
  <w:num w:numId="13" w16cid:durableId="1131165357">
    <w:abstractNumId w:val="1"/>
  </w:num>
  <w:num w:numId="14" w16cid:durableId="420882589">
    <w:abstractNumId w:val="21"/>
  </w:num>
  <w:num w:numId="15" w16cid:durableId="673074535">
    <w:abstractNumId w:val="2"/>
  </w:num>
  <w:num w:numId="16" w16cid:durableId="1177380101">
    <w:abstractNumId w:val="14"/>
  </w:num>
  <w:num w:numId="17" w16cid:durableId="1875459038">
    <w:abstractNumId w:val="0"/>
  </w:num>
  <w:num w:numId="18" w16cid:durableId="808978283">
    <w:abstractNumId w:val="27"/>
  </w:num>
  <w:num w:numId="19" w16cid:durableId="2117291609">
    <w:abstractNumId w:val="16"/>
  </w:num>
  <w:num w:numId="20" w16cid:durableId="2034455994">
    <w:abstractNumId w:val="15"/>
  </w:num>
  <w:num w:numId="21" w16cid:durableId="531528731">
    <w:abstractNumId w:val="19"/>
  </w:num>
  <w:num w:numId="22" w16cid:durableId="1381713113">
    <w:abstractNumId w:val="24"/>
  </w:num>
  <w:num w:numId="23" w16cid:durableId="1512992472">
    <w:abstractNumId w:val="4"/>
  </w:num>
  <w:num w:numId="24" w16cid:durableId="1721517907">
    <w:abstractNumId w:val="26"/>
  </w:num>
  <w:num w:numId="25" w16cid:durableId="1597908591">
    <w:abstractNumId w:val="9"/>
  </w:num>
  <w:num w:numId="26" w16cid:durableId="1787963710">
    <w:abstractNumId w:val="10"/>
  </w:num>
  <w:num w:numId="27" w16cid:durableId="1044869879">
    <w:abstractNumId w:val="13"/>
  </w:num>
  <w:num w:numId="28" w16cid:durableId="928735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1886"/>
    <w:rsid w:val="00012F42"/>
    <w:rsid w:val="000166FE"/>
    <w:rsid w:val="00041AE5"/>
    <w:rsid w:val="000528ED"/>
    <w:rsid w:val="000601CD"/>
    <w:rsid w:val="00075982"/>
    <w:rsid w:val="00080FB2"/>
    <w:rsid w:val="000A064D"/>
    <w:rsid w:val="000C007E"/>
    <w:rsid w:val="000D1EFB"/>
    <w:rsid w:val="000D363A"/>
    <w:rsid w:val="000F2B28"/>
    <w:rsid w:val="000F5F2E"/>
    <w:rsid w:val="00105577"/>
    <w:rsid w:val="00112A75"/>
    <w:rsid w:val="00113EF6"/>
    <w:rsid w:val="0011604F"/>
    <w:rsid w:val="00121A5B"/>
    <w:rsid w:val="00125787"/>
    <w:rsid w:val="00141C83"/>
    <w:rsid w:val="001428FC"/>
    <w:rsid w:val="00153DEE"/>
    <w:rsid w:val="00157C3B"/>
    <w:rsid w:val="00165D9F"/>
    <w:rsid w:val="00167C7A"/>
    <w:rsid w:val="001769B6"/>
    <w:rsid w:val="00176B2B"/>
    <w:rsid w:val="00186001"/>
    <w:rsid w:val="00192DD5"/>
    <w:rsid w:val="001A7047"/>
    <w:rsid w:val="001B3323"/>
    <w:rsid w:val="001B7049"/>
    <w:rsid w:val="001C06EE"/>
    <w:rsid w:val="001C4F28"/>
    <w:rsid w:val="001D4C69"/>
    <w:rsid w:val="001E02F7"/>
    <w:rsid w:val="001F78D9"/>
    <w:rsid w:val="00211E7A"/>
    <w:rsid w:val="00215175"/>
    <w:rsid w:val="00222DDE"/>
    <w:rsid w:val="00226B39"/>
    <w:rsid w:val="00227993"/>
    <w:rsid w:val="00231989"/>
    <w:rsid w:val="00234A19"/>
    <w:rsid w:val="00242A39"/>
    <w:rsid w:val="00244DBC"/>
    <w:rsid w:val="0025090D"/>
    <w:rsid w:val="002552D7"/>
    <w:rsid w:val="002579C7"/>
    <w:rsid w:val="00262013"/>
    <w:rsid w:val="002629D2"/>
    <w:rsid w:val="00263BBC"/>
    <w:rsid w:val="0026547F"/>
    <w:rsid w:val="00265EFB"/>
    <w:rsid w:val="00270C69"/>
    <w:rsid w:val="00272BED"/>
    <w:rsid w:val="00293605"/>
    <w:rsid w:val="0029703D"/>
    <w:rsid w:val="002B2ACB"/>
    <w:rsid w:val="002B5DF4"/>
    <w:rsid w:val="002B72C4"/>
    <w:rsid w:val="002B7C00"/>
    <w:rsid w:val="002C3DED"/>
    <w:rsid w:val="002C746A"/>
    <w:rsid w:val="002D7366"/>
    <w:rsid w:val="002E1AA1"/>
    <w:rsid w:val="002E55DD"/>
    <w:rsid w:val="002F0D42"/>
    <w:rsid w:val="002F2AA4"/>
    <w:rsid w:val="002F2C82"/>
    <w:rsid w:val="002F5C2D"/>
    <w:rsid w:val="002F6DEB"/>
    <w:rsid w:val="002F708F"/>
    <w:rsid w:val="003031E1"/>
    <w:rsid w:val="00315BFC"/>
    <w:rsid w:val="00316008"/>
    <w:rsid w:val="00323BFC"/>
    <w:rsid w:val="0033272D"/>
    <w:rsid w:val="003368F1"/>
    <w:rsid w:val="00342A4B"/>
    <w:rsid w:val="00346194"/>
    <w:rsid w:val="00347218"/>
    <w:rsid w:val="00360955"/>
    <w:rsid w:val="0036456E"/>
    <w:rsid w:val="00364FC9"/>
    <w:rsid w:val="003657EC"/>
    <w:rsid w:val="003824B7"/>
    <w:rsid w:val="003849EF"/>
    <w:rsid w:val="003968E6"/>
    <w:rsid w:val="003969D9"/>
    <w:rsid w:val="003A318C"/>
    <w:rsid w:val="003B51C4"/>
    <w:rsid w:val="003D7CDC"/>
    <w:rsid w:val="003E2365"/>
    <w:rsid w:val="003E26B8"/>
    <w:rsid w:val="003E33E6"/>
    <w:rsid w:val="003E49CD"/>
    <w:rsid w:val="003F075F"/>
    <w:rsid w:val="003F136B"/>
    <w:rsid w:val="003F404D"/>
    <w:rsid w:val="0041104D"/>
    <w:rsid w:val="004359D7"/>
    <w:rsid w:val="00437522"/>
    <w:rsid w:val="004377BA"/>
    <w:rsid w:val="004453CD"/>
    <w:rsid w:val="00451462"/>
    <w:rsid w:val="00452650"/>
    <w:rsid w:val="00454A73"/>
    <w:rsid w:val="00471450"/>
    <w:rsid w:val="00481511"/>
    <w:rsid w:val="00481704"/>
    <w:rsid w:val="00485D00"/>
    <w:rsid w:val="004922F0"/>
    <w:rsid w:val="00495F18"/>
    <w:rsid w:val="004A62FA"/>
    <w:rsid w:val="004B56B8"/>
    <w:rsid w:val="004B5976"/>
    <w:rsid w:val="004B7E53"/>
    <w:rsid w:val="004C3D3D"/>
    <w:rsid w:val="004D129F"/>
    <w:rsid w:val="004D433A"/>
    <w:rsid w:val="004D5D08"/>
    <w:rsid w:val="004F1F6C"/>
    <w:rsid w:val="005047BA"/>
    <w:rsid w:val="005167BB"/>
    <w:rsid w:val="005213CE"/>
    <w:rsid w:val="00531E0A"/>
    <w:rsid w:val="00533E58"/>
    <w:rsid w:val="00542A4A"/>
    <w:rsid w:val="00555ACC"/>
    <w:rsid w:val="00557545"/>
    <w:rsid w:val="00560266"/>
    <w:rsid w:val="00577170"/>
    <w:rsid w:val="005774C4"/>
    <w:rsid w:val="00581F7B"/>
    <w:rsid w:val="0058760B"/>
    <w:rsid w:val="005946DF"/>
    <w:rsid w:val="0059600B"/>
    <w:rsid w:val="005C3E10"/>
    <w:rsid w:val="005C62DA"/>
    <w:rsid w:val="005D0886"/>
    <w:rsid w:val="005D2BE5"/>
    <w:rsid w:val="005E149F"/>
    <w:rsid w:val="005E1EBE"/>
    <w:rsid w:val="005F3150"/>
    <w:rsid w:val="005F7B08"/>
    <w:rsid w:val="006027BD"/>
    <w:rsid w:val="006053E7"/>
    <w:rsid w:val="00616283"/>
    <w:rsid w:val="00621BCF"/>
    <w:rsid w:val="00622FF5"/>
    <w:rsid w:val="00626A64"/>
    <w:rsid w:val="00637836"/>
    <w:rsid w:val="00646CAA"/>
    <w:rsid w:val="00660400"/>
    <w:rsid w:val="006727BA"/>
    <w:rsid w:val="0067410F"/>
    <w:rsid w:val="00682044"/>
    <w:rsid w:val="006A48B8"/>
    <w:rsid w:val="006B0C97"/>
    <w:rsid w:val="006B5E50"/>
    <w:rsid w:val="006B7A5C"/>
    <w:rsid w:val="006C4ADA"/>
    <w:rsid w:val="006D16A5"/>
    <w:rsid w:val="006D1F33"/>
    <w:rsid w:val="006E07DC"/>
    <w:rsid w:val="006E3F54"/>
    <w:rsid w:val="006E559D"/>
    <w:rsid w:val="006E6DE4"/>
    <w:rsid w:val="006E7E0B"/>
    <w:rsid w:val="00722C3C"/>
    <w:rsid w:val="00734E88"/>
    <w:rsid w:val="00744B32"/>
    <w:rsid w:val="00761D52"/>
    <w:rsid w:val="007658A5"/>
    <w:rsid w:val="00767EF5"/>
    <w:rsid w:val="00770EF3"/>
    <w:rsid w:val="00771627"/>
    <w:rsid w:val="00783674"/>
    <w:rsid w:val="00784AA1"/>
    <w:rsid w:val="00791164"/>
    <w:rsid w:val="00796667"/>
    <w:rsid w:val="00797E95"/>
    <w:rsid w:val="007A0058"/>
    <w:rsid w:val="007B0C79"/>
    <w:rsid w:val="007B3C47"/>
    <w:rsid w:val="007B4559"/>
    <w:rsid w:val="007C171B"/>
    <w:rsid w:val="007D66FE"/>
    <w:rsid w:val="007D6ACD"/>
    <w:rsid w:val="007D7507"/>
    <w:rsid w:val="00800CBC"/>
    <w:rsid w:val="00807986"/>
    <w:rsid w:val="0081161B"/>
    <w:rsid w:val="0081756E"/>
    <w:rsid w:val="0084163F"/>
    <w:rsid w:val="0084567F"/>
    <w:rsid w:val="00853ECA"/>
    <w:rsid w:val="00863C77"/>
    <w:rsid w:val="00867A7F"/>
    <w:rsid w:val="00872D18"/>
    <w:rsid w:val="00884F3F"/>
    <w:rsid w:val="008B36CF"/>
    <w:rsid w:val="008C0DD7"/>
    <w:rsid w:val="008C1DA6"/>
    <w:rsid w:val="008C783C"/>
    <w:rsid w:val="008D2B0D"/>
    <w:rsid w:val="008D2FDD"/>
    <w:rsid w:val="008D5FCC"/>
    <w:rsid w:val="008D722A"/>
    <w:rsid w:val="008E305A"/>
    <w:rsid w:val="008E3E21"/>
    <w:rsid w:val="008E6E32"/>
    <w:rsid w:val="008F3154"/>
    <w:rsid w:val="00904C0E"/>
    <w:rsid w:val="00905139"/>
    <w:rsid w:val="009178EA"/>
    <w:rsid w:val="00920001"/>
    <w:rsid w:val="00924C9F"/>
    <w:rsid w:val="009258A9"/>
    <w:rsid w:val="009306B4"/>
    <w:rsid w:val="0093623C"/>
    <w:rsid w:val="0093766C"/>
    <w:rsid w:val="00947305"/>
    <w:rsid w:val="0095316F"/>
    <w:rsid w:val="009536FE"/>
    <w:rsid w:val="00965C49"/>
    <w:rsid w:val="00966C5F"/>
    <w:rsid w:val="00970997"/>
    <w:rsid w:val="00972D6B"/>
    <w:rsid w:val="009756DF"/>
    <w:rsid w:val="00976446"/>
    <w:rsid w:val="009874CE"/>
    <w:rsid w:val="00997C07"/>
    <w:rsid w:val="009A3AB9"/>
    <w:rsid w:val="009B5642"/>
    <w:rsid w:val="009C5B46"/>
    <w:rsid w:val="009D5DCF"/>
    <w:rsid w:val="009E42CF"/>
    <w:rsid w:val="009E7406"/>
    <w:rsid w:val="009E7B29"/>
    <w:rsid w:val="009F48C5"/>
    <w:rsid w:val="00A04E13"/>
    <w:rsid w:val="00A156DE"/>
    <w:rsid w:val="00A161CA"/>
    <w:rsid w:val="00A21E94"/>
    <w:rsid w:val="00A22753"/>
    <w:rsid w:val="00A23FD6"/>
    <w:rsid w:val="00A309F7"/>
    <w:rsid w:val="00A323BC"/>
    <w:rsid w:val="00A327A8"/>
    <w:rsid w:val="00A35FAD"/>
    <w:rsid w:val="00A37957"/>
    <w:rsid w:val="00A43B82"/>
    <w:rsid w:val="00A44828"/>
    <w:rsid w:val="00A50A98"/>
    <w:rsid w:val="00A77916"/>
    <w:rsid w:val="00A833C5"/>
    <w:rsid w:val="00A948B0"/>
    <w:rsid w:val="00A94A3B"/>
    <w:rsid w:val="00AA1F64"/>
    <w:rsid w:val="00AA288A"/>
    <w:rsid w:val="00AA55C0"/>
    <w:rsid w:val="00AB730B"/>
    <w:rsid w:val="00AC40F8"/>
    <w:rsid w:val="00AC4FE3"/>
    <w:rsid w:val="00AD0DB4"/>
    <w:rsid w:val="00AE0209"/>
    <w:rsid w:val="00AF49B3"/>
    <w:rsid w:val="00B03397"/>
    <w:rsid w:val="00B05A38"/>
    <w:rsid w:val="00B14913"/>
    <w:rsid w:val="00B15043"/>
    <w:rsid w:val="00B225C7"/>
    <w:rsid w:val="00B32ED9"/>
    <w:rsid w:val="00B56967"/>
    <w:rsid w:val="00B63159"/>
    <w:rsid w:val="00B82855"/>
    <w:rsid w:val="00B82D67"/>
    <w:rsid w:val="00B83B1E"/>
    <w:rsid w:val="00B8531D"/>
    <w:rsid w:val="00B97D0E"/>
    <w:rsid w:val="00BA4E8B"/>
    <w:rsid w:val="00BA527A"/>
    <w:rsid w:val="00BB463B"/>
    <w:rsid w:val="00BC0EF6"/>
    <w:rsid w:val="00BC51A4"/>
    <w:rsid w:val="00BC6FB1"/>
    <w:rsid w:val="00BF0AAD"/>
    <w:rsid w:val="00BF0B65"/>
    <w:rsid w:val="00C032B3"/>
    <w:rsid w:val="00C23651"/>
    <w:rsid w:val="00C2621A"/>
    <w:rsid w:val="00C2793B"/>
    <w:rsid w:val="00C31E7C"/>
    <w:rsid w:val="00C34A6D"/>
    <w:rsid w:val="00C40072"/>
    <w:rsid w:val="00C41A19"/>
    <w:rsid w:val="00C5394C"/>
    <w:rsid w:val="00C57D39"/>
    <w:rsid w:val="00C92783"/>
    <w:rsid w:val="00CA30C2"/>
    <w:rsid w:val="00CB07E0"/>
    <w:rsid w:val="00CB414C"/>
    <w:rsid w:val="00CC374C"/>
    <w:rsid w:val="00CD6EF9"/>
    <w:rsid w:val="00CE4C42"/>
    <w:rsid w:val="00CE6D4B"/>
    <w:rsid w:val="00CF0F59"/>
    <w:rsid w:val="00CF25CD"/>
    <w:rsid w:val="00D126FD"/>
    <w:rsid w:val="00D15B8D"/>
    <w:rsid w:val="00D15C69"/>
    <w:rsid w:val="00D17E80"/>
    <w:rsid w:val="00D254EB"/>
    <w:rsid w:val="00D3231F"/>
    <w:rsid w:val="00D355FA"/>
    <w:rsid w:val="00D50AA5"/>
    <w:rsid w:val="00D530ED"/>
    <w:rsid w:val="00D56473"/>
    <w:rsid w:val="00D822C3"/>
    <w:rsid w:val="00D9125D"/>
    <w:rsid w:val="00D924B2"/>
    <w:rsid w:val="00DA2C4B"/>
    <w:rsid w:val="00DB6E48"/>
    <w:rsid w:val="00DC5788"/>
    <w:rsid w:val="00DE7AD0"/>
    <w:rsid w:val="00DF4942"/>
    <w:rsid w:val="00DF65DB"/>
    <w:rsid w:val="00DF794D"/>
    <w:rsid w:val="00E0437C"/>
    <w:rsid w:val="00E12B73"/>
    <w:rsid w:val="00E373E1"/>
    <w:rsid w:val="00E37E97"/>
    <w:rsid w:val="00E56232"/>
    <w:rsid w:val="00E610DA"/>
    <w:rsid w:val="00E647C3"/>
    <w:rsid w:val="00E71A4B"/>
    <w:rsid w:val="00E753D5"/>
    <w:rsid w:val="00E81AFC"/>
    <w:rsid w:val="00E8200B"/>
    <w:rsid w:val="00E84F82"/>
    <w:rsid w:val="00E85085"/>
    <w:rsid w:val="00EA28AC"/>
    <w:rsid w:val="00EB2F82"/>
    <w:rsid w:val="00EC07B6"/>
    <w:rsid w:val="00EC085E"/>
    <w:rsid w:val="00EC1BEE"/>
    <w:rsid w:val="00ED3BBF"/>
    <w:rsid w:val="00EE2D1B"/>
    <w:rsid w:val="00EF04D5"/>
    <w:rsid w:val="00EF54A9"/>
    <w:rsid w:val="00EF7013"/>
    <w:rsid w:val="00F064C2"/>
    <w:rsid w:val="00F15D2C"/>
    <w:rsid w:val="00F17E09"/>
    <w:rsid w:val="00F20C1B"/>
    <w:rsid w:val="00F20E68"/>
    <w:rsid w:val="00F342B5"/>
    <w:rsid w:val="00F372C5"/>
    <w:rsid w:val="00F41E00"/>
    <w:rsid w:val="00F42FF0"/>
    <w:rsid w:val="00F43D27"/>
    <w:rsid w:val="00F45FBE"/>
    <w:rsid w:val="00F6644B"/>
    <w:rsid w:val="00F906B9"/>
    <w:rsid w:val="00F94527"/>
    <w:rsid w:val="00FA60A4"/>
    <w:rsid w:val="00FB1316"/>
    <w:rsid w:val="00FC1A4D"/>
    <w:rsid w:val="00FD0439"/>
    <w:rsid w:val="00FD5B27"/>
    <w:rsid w:val="00FE402E"/>
    <w:rsid w:val="00FE4D44"/>
    <w:rsid w:val="00FE4F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rsid w:val="006D1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aliases w:val="Normal bullet 2,List Paragraph1,Listă colorată - Accentuare 11,body 2,List Paragraph11,List Paragraph111,Antes de enumeración,Bullet,Citation List,List Paragraph2"/>
    <w:basedOn w:val="Normal"/>
    <w:link w:val="ListParagraphChar"/>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character" w:customStyle="1" w:styleId="Heading2Char">
    <w:name w:val="Heading 2 Char"/>
    <w:basedOn w:val="DefaultParagraphFont"/>
    <w:link w:val="Heading2"/>
    <w:uiPriority w:val="9"/>
    <w:semiHidden/>
    <w:rsid w:val="006D16A5"/>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 Paragraph2 Char"/>
    <w:link w:val="ListParagraph"/>
    <w:locked/>
    <w:rsid w:val="006D16A5"/>
    <w:rPr>
      <w:rFonts w:ascii="Arial" w:eastAsia="Times New Roman" w:hAnsi="Arial" w:cs="Times New Roman"/>
      <w:kern w:val="12"/>
      <w:sz w:val="20"/>
      <w:szCs w:val="20"/>
      <w:lang w:val="en-GB"/>
    </w:rPr>
  </w:style>
  <w:style w:type="paragraph" w:styleId="FootnoteText">
    <w:name w:val="footnote text"/>
    <w:basedOn w:val="Normal"/>
    <w:link w:val="FootnoteTextChar"/>
    <w:uiPriority w:val="99"/>
    <w:semiHidden/>
    <w:unhideWhenUsed/>
    <w:rsid w:val="00660400"/>
    <w:rPr>
      <w:sz w:val="20"/>
      <w:szCs w:val="20"/>
    </w:rPr>
  </w:style>
  <w:style w:type="character" w:customStyle="1" w:styleId="FootnoteTextChar">
    <w:name w:val="Footnote Text Char"/>
    <w:basedOn w:val="DefaultParagraphFont"/>
    <w:link w:val="FootnoteText"/>
    <w:uiPriority w:val="99"/>
    <w:semiHidden/>
    <w:rsid w:val="006604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0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621570852">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 w:id="19915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70B-57BA-4932-B6FB-BE7BC69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6714</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dc:creator>
  <cp:lastModifiedBy>FPIMM FPIMM</cp:lastModifiedBy>
  <cp:revision>2</cp:revision>
  <cp:lastPrinted>2025-05-05T10:56:00Z</cp:lastPrinted>
  <dcterms:created xsi:type="dcterms:W3CDTF">2025-05-05T10:56:00Z</dcterms:created>
  <dcterms:modified xsi:type="dcterms:W3CDTF">2025-05-05T10:56:00Z</dcterms:modified>
</cp:coreProperties>
</file>